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och </w:t>
      </w:r>
      <w:r>
        <w:rPr>
          <w:rFonts w:ascii="Consolas" w:cs="Consolas" w:eastAsia="Consolas" w:hAnsi="Consolas"/>
          <w:sz w:val="20"/>
          <w:szCs w:val="20"/>
          <w:shd w:fill="F2F2F2" w:val="clear"/>
        </w:rPr>
        <w:t xml:space="preserve">_korsningar.csv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under *Fält* gissas SVOA:s fältnamn (LevelFrom/LevelTo, PipeDimension, PipeMaterial, PipeType, ConstructionYear, RestorationYear, Slope, EntityID; CoverLevel, BottomLevel, WellFunction); under *Markhöjd* väljs höjdmodellen (raster)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djup till rörets centrum, 1,7 m).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2026-10-21T16:30:23.000Z</dcterms:created>
  <dcterms:modified xsi:type="dcterms:W3CDTF">2026-10-21T16:30:23.001Z</dcterms:modified>
</cp:coreProperties>
</file>

<file path=docProps/custom.xml><?xml version="1.0" encoding="utf-8"?>
<Properties xmlns="http://schemas.openxmlformats.org/officeDocument/2006/custom-properties" xmlns:vt="http://schemas.openxmlformats.org/officeDocument/2006/docPropsVTypes"/>
</file>