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granska förslagen och ange filen med </w:t>
      </w:r>
      <w:r>
        <w:rPr>
          <w:rFonts w:ascii="Consolas" w:cs="Consolas" w:eastAsia="Consolas" w:hAnsi="Consolas"/>
          <w:sz w:val="20"/>
          <w:szCs w:val="20"/>
          <w:shd w:fill="F2F2F2" w:val="clear"/>
        </w:rPr>
        <w:t xml:space="preserve">littera:</w:t>
      </w:r>
      <w:r>
        <w:t xml:space="preserve"> nästa körning.</w:t>
      </w:r>
    </w:p>
    <w:p>
      <w:pPr>
        <w:pStyle w:val="ListParagraph"/>
        <w:numPr>
          <w:ilvl w:val="0"/>
          <w:numId w:val="3"/>
        </w:numPr>
        <w:spacing w:after="80"/>
      </w:pPr>
      <w:r>
        <w:rPr>
          <w:b/>
          <w:bCs/>
        </w:rPr>
        <w:t xml:space="preserve">ingen ledning i GIS mellan brunnarna</w:t>
      </w:r>
      <w:r>
        <w:t xml:space="preserve"> – båda brunnarna finns men ingen ledning förbinder dem (fel sträcka i filmen, eller ledningen saknas i kartan).</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och </w:t>
      </w:r>
      <w:r>
        <w:rPr>
          <w:b/>
          <w:bCs/>
        </w:rPr>
        <w:t xml:space="preserve">Anläggningsår</w:t>
      </w:r>
      <w:r>
        <w:t xml:space="preserve"> i, och saknas markprofil används GIS-vattengång och kartlängd till höjdanpassningen, längdkontrollen och avbrottsbedömningen på samma sätt som markprofilen (7.5). Flaggorna påverkar inte prioritetsklassen.</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2026-10-04T14:39:37.585Z</dcterms:created>
  <dcterms:modified xsi:type="dcterms:W3CDTF">2026-10-04T14:39:37.586Z</dcterms:modified>
</cp:coreProperties>
</file>

<file path=docProps/custom.xml><?xml version="1.0" encoding="utf-8"?>
<Properties xmlns="http://schemas.openxmlformats.org/officeDocument/2006/custom-properties" xmlns:vt="http://schemas.openxmlformats.org/officeDocument/2006/docPropsVTypes"/>
</file>