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 Brunnar och ledningsändar i avloppet som ligger högst 2 m från en exporterad avloppsledning tas med även utanför området, så att ledningar som korsar gränsen går brunn till brunn (</w:t>
      </w:r>
      <w:r>
        <w:rPr>
          <w:rFonts w:ascii="Consolas" w:cs="Consolas" w:eastAsia="Consolas" w:hAnsi="Consolas"/>
          <w:sz w:val="20"/>
          <w:szCs w:val="20"/>
          <w:shd w:fill="F2F2F2" w:val="clear"/>
        </w:rPr>
        <w:t xml:space="preserve">ANDBRUNN_AVSTAND_M</w:t>
      </w:r>
      <w:r>
        <w:t xml:space="preserve">). SVOA:s featureklasser har ett klasstillägg som följer med kopian; då fylls de tre fälten i en redigeringssession, och går inte heller det blir fälten tomma (det står i loggen) medan själva exporten blir klar. Lager med en koppling (join) i kartan, som *A Platsgjutenbrunn*, har en definitionsfråga med tabellprefix; då provas frågan utan prefix och sist lagret med sin koppling. Ett lager som ändå inte går att exportera hoppas över med en OBS-rad, och de övriga exporteras.</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w:t>
      </w:r>
      <w:r>
        <w:rPr>
          <w:rFonts w:ascii="Consolas" w:cs="Consolas" w:eastAsia="Consolas" w:hAnsi="Consolas"/>
          <w:sz w:val="20"/>
          <w:szCs w:val="20"/>
          <w:shd w:fill="F2F2F2" w:val="clear"/>
        </w:rPr>
        <w:t xml:space="preserve">_korsningar.csv</w:t>
      </w:r>
      <w:r>
        <w:t xml:space="preserve"> och </w:t>
      </w:r>
      <w:r>
        <w:rPr>
          <w:rFonts w:ascii="Consolas" w:cs="Consolas" w:eastAsia="Consolas" w:hAnsi="Consolas"/>
          <w:sz w:val="20"/>
          <w:szCs w:val="20"/>
          <w:shd w:fill="F2F2F2" w:val="clear"/>
        </w:rPr>
        <w:t xml:space="preserve">_anordningar.csv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anordningar (ventiler, brandposter m.m.); under *Fält* gissas SVOA:s fältnamn (LevelFrom/LevelTo, PipeDimension, PipeMaterial, PipeType, ConstructionYear, RestorationYear, Slope, EntityID; CoverLevel, BottomLevel, WellFunction); under *Markhöjd* väljs höjdmodellen (ett eller flera raster – t.ex. fyra geotif-rutor som lagts in i kartan, de behöver inte slås ihop först)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1,7 m till rörets centrum; djupet och djupklassen räknas som för avloppet till rörets botten, alltså 1,7 m + halva dimensionen – DN 1000 ligger på 2,2 m och hamnar i klass 2–3).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Vattenledningar klipps vid områdesgränsen</w:t>
      </w:r>
      <w:r>
        <w:t xml:space="preserve"> när ett områdeslager är valt (Inställningar – förvalt ur </w:t>
      </w:r>
      <w:r>
        <w:rPr>
          <w:rFonts w:ascii="Consolas" w:cs="Consolas" w:eastAsia="Consolas" w:hAnsi="Consolas"/>
          <w:sz w:val="20"/>
          <w:szCs w:val="20"/>
          <w:shd w:fill="F2F2F2" w:val="clear"/>
        </w:rPr>
        <w:t xml:space="preserve">export_info.json</w:t>
      </w:r>
      <w:r>
        <w:t xml:space="preserve"> från Exportera område) och rutan *Klipp vattenledningarna* är ikryssad (standard). Bara delen inom området räknas; hur många meter som klipptes bort står i </w:t>
      </w:r>
      <w:r>
        <w:rPr>
          <w:rFonts w:ascii="Consolas" w:cs="Consolas" w:eastAsia="Consolas" w:hAnsi="Consolas"/>
          <w:sz w:val="20"/>
          <w:szCs w:val="20"/>
          <w:shd w:fill="F2F2F2" w:val="clear"/>
        </w:rPr>
        <w:t xml:space="preserve">klippt_m</w:t>
      </w:r>
      <w:r>
        <w:t xml:space="preserve"> (Excel: dold kolumn *Klippt vid områdesgränsen*). Avloppsledningarna behålls hela, brunn till brunn, med brunnar och serviser även utanför området. Vattenserviser och vattenanordningar utanför området tas inte med.</w:t>
      </w:r>
    </w:p>
    <w:p>
      <w:pPr>
        <w:pStyle w:val="ListParagraph"/>
        <w:numPr>
          <w:ilvl w:val="0"/>
          <w:numId w:val="3"/>
        </w:numPr>
        <w:spacing w:after="80"/>
      </w:pPr>
      <w:r>
        <w:rPr>
          <w:b/>
          <w:bCs/>
        </w:rPr>
        <w:t xml:space="preserve">Anordningar</w:t>
      </w:r>
      <w:r>
        <w:t xml:space="preserve"> – ventiler, servisventiler, brandposter, övriga anordningar (t.ex. förgreningar och reduktioner) och ledningsändar ur punktlagren. Kategorin tas ur lagernamnet (*V Ventil (ej servisventil)*, *V Servisventil*, *V Brandpost*, *V Anordning*, *V Ledningsände* …) och typkoden ur ValveFunction/HydrantType/ApplianceType/PipeEndType. Varje anordning kopplas till närmaste ledning av rätt slag inom 3 m (lager i gruppen Vatten eller med V-prefix till vattenledningar, A-lager till avlopp); servisventiler och brandposter kopplas via servisen eller brandpostledningen när den ligger närmare. Per ledning: antal per kategori. Samma objekt i två lager (t.ex. *V Brandpost* och *V Brandpost Avstängningskarta*) räknas en gång; anordningar utan ledning listas under </w:t>
      </w:r>
      <w:r>
        <w:rPr>
          <w:rFonts w:ascii="Consolas" w:cs="Consolas" w:eastAsia="Consolas" w:hAnsi="Consolas"/>
          <w:sz w:val="20"/>
          <w:szCs w:val="20"/>
          <w:shd w:fill="F2F2F2" w:val="clear"/>
        </w:rPr>
        <w:t xml:space="preserve">datakvalitet</w:t>
      </w:r>
      <w:r>
        <w:t xml:space="preserve">. I dialogen förväljs de lokala punktlagren med ventil, brandpost, anordning eller ledningsände i namnet.</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räknar vad det kostar att lägga om hela nätet jämfört med att strumpinfodra det, med priserna ur SVOA:s kalkylverktyg i </w:t>
      </w:r>
      <w:r>
        <w:rPr>
          <w:rFonts w:ascii="Consolas" w:cs="Consolas" w:eastAsia="Consolas" w:hAnsi="Consolas"/>
          <w:sz w:val="20"/>
          <w:szCs w:val="20"/>
          <w:shd w:fill="F2F2F2" w:val="clear"/>
        </w:rPr>
        <w:t xml:space="preserve">kostnader_inventering.csv</w:t>
      </w:r>
      <w:r>
        <w:t xml:space="preserve">. Resultatet blir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 Skriptet ger inga rekommendationer – bara beräkningar.</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--schakttyp bergschakt</w:t>
      </w:r>
    </w:p>
    <w:p>
      <w:pPr>
        <w:pStyle w:val="ListParagraph"/>
        <w:numPr>
          <w:ilvl w:val="0"/>
          <w:numId w:val="3"/>
        </w:numPr>
        <w:spacing w:after="80"/>
      </w:pPr>
      <w:r>
        <w:rPr>
          <w:b/>
          <w:bCs/>
        </w:rPr>
        <w:t xml:space="preserve">Alt. lägg om</w:t>
      </w:r>
      <w:r>
        <w:t xml:space="preserve"> – alla ledningar läggs om i helschakt. Ledningar som ligger i samma grav (samschakt) delar graven: priset per meter grav tas efter antal ledningar i graven (1–3), hur många av dem som är större än 400 mm och den största dimensionen, och delas lika mellan ledningarna. Schaktpriset gäller till 2,5 m djup; därunder tillkommer djuptillägget per påbörjade 1,5 m (3 750 kr/m upp till Ø 600, 7 500 kr/m över), räknat punkt för punkt längs profilen. Dessutom en halv ny brunn per brunnsände (schablon) och serviserna i helschakt. Standard är schakttypen </w:t>
      </w:r>
      <w:r>
        <w:rPr>
          <w:b/>
          <w:bCs/>
        </w:rPr>
        <w:t xml:space="preserve">efter djup</w:t>
      </w:r>
      <w:r>
        <w:t xml:space="preserve">: gravens medeldjup (den djupaste ledningen i graven) avgör schaktsättet – under 2 m ledningschakt, 2–3 m spontlåda (priset med spontsläde), från 3 m ledningschakt plus slagen spont. Slagen spont räknas på båda sidor av graven med höjden medeldjup + 3 m: 2 × (medeldjup + 3 m) × längd × 3 500 kr/m² (post </w:t>
      </w:r>
      <w:r>
        <w:rPr>
          <w:rFonts w:ascii="Consolas" w:cs="Consolas" w:eastAsia="Consolas" w:hAnsi="Consolas"/>
          <w:sz w:val="20"/>
          <w:szCs w:val="20"/>
          <w:shd w:fill="F2F2F2" w:val="clear"/>
        </w:rPr>
        <w:t xml:space="preserve">slagen_spont</w:t>
      </w:r>
      <w:r>
        <w:t xml:space="preserve">, delas mellan ledningarna i graven). Serviserna får spontslädetillägget vid spontlåda. Saknas djupet räknas ledningschakt utan spont och det står i anmärkningen. Gränserna står i KONFIG (</w:t>
      </w:r>
      <w:r>
        <w:rPr>
          <w:rFonts w:ascii="Consolas" w:cs="Consolas" w:eastAsia="Consolas" w:hAnsi="Consolas"/>
          <w:sz w:val="20"/>
          <w:szCs w:val="20"/>
          <w:shd w:fill="F2F2F2" w:val="clear"/>
        </w:rPr>
        <w:t xml:space="preserve">SPONTLADA_FRAN_M</w:t>
      </w:r>
      <w:r>
        <w:t xml:space="preserve">, </w:t>
      </w:r>
      <w:r>
        <w:rPr>
          <w:rFonts w:ascii="Consolas" w:cs="Consolas" w:eastAsia="Consolas" w:hAnsi="Consolas"/>
          <w:sz w:val="20"/>
          <w:szCs w:val="20"/>
          <w:shd w:fill="F2F2F2" w:val="clear"/>
        </w:rPr>
        <w:t xml:space="preserve">SLAGEN_SPONT_FRAN_M</w:t>
      </w:r>
      <w:r>
        <w:t xml:space="preserve">, </w:t>
      </w:r>
      <w:r>
        <w:rPr>
          <w:rFonts w:ascii="Consolas" w:cs="Consolas" w:eastAsia="Consolas" w:hAnsi="Consolas"/>
          <w:sz w:val="20"/>
          <w:szCs w:val="20"/>
          <w:shd w:fill="F2F2F2" w:val="clear"/>
        </w:rPr>
        <w:t xml:space="preserve">SPONT_NEDSLAGNING_M</w:t>
      </w:r>
      <w:r>
        <w:t xml:space="preserve">, </w:t>
      </w:r>
      <w:r>
        <w:rPr>
          <w:rFonts w:ascii="Consolas" w:cs="Consolas" w:eastAsia="Consolas" w:hAnsi="Consolas"/>
          <w:sz w:val="20"/>
          <w:szCs w:val="20"/>
          <w:shd w:fill="F2F2F2" w:val="clear"/>
        </w:rPr>
        <w:t xml:space="preserve">SPONT_SIDOR</w:t>
      </w:r>
      <w:r>
        <w:t xml:space="preserve">). Alternativet räknas också för de fyra fasta schakttyperna – ledningschakt, med spontsläde, bergschakt och KC-förstärkning – och sammanfattningen visar alla fem samt ett block med längd, kvadratmeter spont och kostnad per schaktsätt; </w:t>
      </w:r>
      <w:r>
        <w:rPr>
          <w:rFonts w:ascii="Consolas" w:cs="Consolas" w:eastAsia="Consolas" w:hAnsi="Consolas"/>
          <w:sz w:val="20"/>
          <w:szCs w:val="20"/>
          <w:shd w:fill="F2F2F2" w:val="clear"/>
        </w:rPr>
        <w:t xml:space="preserve">--schakttyp</w:t>
      </w:r>
      <w:r>
        <w:t xml:space="preserve"> väljer vilken som används i jämförelsen (standard </w:t>
      </w:r>
      <w:r>
        <w:rPr>
          <w:rFonts w:ascii="Consolas" w:cs="Consolas" w:eastAsia="Consolas" w:hAnsi="Consolas"/>
          <w:sz w:val="20"/>
          <w:szCs w:val="20"/>
          <w:shd w:fill="F2F2F2" w:val="clear"/>
        </w:rPr>
        <w:t xml:space="preserve">djup</w:t>
      </w:r>
      <w:r>
        <w:t xml:space="preserve">). Fliken Ledningar visar schaktsättet per ledning (gravdjup, spont i m² och kr finns bland de dolda kolumnerna).</w:t>
      </w:r>
    </w:p>
    <w:p>
      <w:pPr>
        <w:pStyle w:val="ListParagraph"/>
        <w:numPr>
          <w:ilvl w:val="0"/>
          <w:numId w:val="3"/>
        </w:numPr>
        <w:spacing w:after="80"/>
      </w:pPr>
      <w:r>
        <w:rPr>
          <w:b/>
          <w:bCs/>
        </w:rPr>
        <w:t xml:space="preserve">Alt. strumpa</w:t>
      </w:r>
      <w:r>
        <w:t xml:space="preserve"> – spill-, dag- och kombinerade ledningar infodras (från 100 mm, så långt prislistan räcker – i dag Ø 900). Går infodring inte rörspräcks ledningen om den är högst 400 mm, annars läggs den om. Vattenledningar infodras inte: de rörspräcks (högst 400 mm), men bara när avloppsledningarna i samma grav också klaras utan schakt. Läggs någon avloppsledning i graven om, läggs vattenledningen om i samma grav. Ledningar som läggs om i alternativet delar grav med varandra, inte med dem som infodras.</w:t>
      </w:r>
    </w:p>
    <w:p>
      <w:pPr>
        <w:pStyle w:val="ListParagraph"/>
        <w:numPr>
          <w:ilvl w:val="0"/>
          <w:numId w:val="3"/>
        </w:numPr>
        <w:spacing w:after="80"/>
      </w:pPr>
      <w:r>
        <w:rPr>
          <w:b/>
          <w:bCs/>
        </w:rPr>
        <w:t xml:space="preserve">Rörspräckning</w:t>
      </w:r>
      <w:r>
        <w:t xml:space="preserve"> = pris per meter efter DN (Ø 100–400) + en införingsgrop och en maskingrop per påbörjade 50 m ledning + en servisgrop per servis + en ventilgrop per ventil och brandpost på ledningen (ur inventeringens anordningar; servisventiler ligger i servisgropen). Byte av ventiler och brandposter vid omläggning ingår inte – det finns inget pris för det i kalkylverktyget.</w:t>
      </w:r>
    </w:p>
    <w:p>
      <w:pPr>
        <w:pStyle w:val="ListParagraph"/>
        <w:numPr>
          <w:ilvl w:val="0"/>
          <w:numId w:val="3"/>
        </w:numPr>
        <w:spacing w:after="80"/>
      </w:pPr>
      <w:r>
        <w:rPr>
          <w:b/>
          <w:bCs/>
        </w:rPr>
        <w:t xml:space="preserve">Serviser</w:t>
      </w:r>
      <w:r>
        <w:t xml:space="preserve"> förnyas i båda alternativen, per meter servisledning. I helschakt delar serviser till samma fastighet servisgrav (båda ändarna inom 3 m från varandra): en ensam dricksvattenservis kostar som dricksvattenservis helschakt, en ensam spill- eller dagvattenservis som komplett servis (spillen ligger oftast djupast), två eller tre i samma grav som komplett servis, delat lika. Raderna för en större ledning ”Ø 700” gäller över 400 till och med Ø 800, raderna för två och tre större ledningar Ø 700–1000. Bergschakt och spontsläde ger servistillägget per meter. Schaktfritt infodras servisen (dricksvatten respektive spill-/dagvattenservis per meter).</w:t>
      </w:r>
    </w:p>
    <w:p>
      <w:pPr>
        <w:pStyle w:val="ListParagraph"/>
        <w:numPr>
          <w:ilvl w:val="0"/>
          <w:numId w:val="3"/>
        </w:numPr>
        <w:spacing w:after="80"/>
      </w:pPr>
      <w:r>
        <w:rPr>
          <w:b/>
          <w:bCs/>
        </w:rPr>
        <w:t xml:space="preserve">Flikar.</w:t>
      </w:r>
      <w:r>
        <w:t xml:space="preserve"> *Sammanfattning* (de två alternativen per system med infodrad, rörspräckt och omlagd längd; alt. lägg om per schakttyp; nätets längd, serviser, medeldjup och andel i samschakt; längd per material, dimension, anläggningsdecennium och djupklass; datakvalitet), *Ledningar* (per ledning kostnad i alt. lägg om, metod och kostnad i alt. strumpa och en anmärkning – kostnaden per schakttyp, detaljposterna och alla GIS-fält är dolda och fälls ut med plustecknet), *Kostnad per schaktgrupp*, *Serviser* (med antal serviser i samma servisgrav), *Anordningar* (när inventeringen har anordningar), *Parallella*, *Korsningar*, *Brunnar*, *Datakvalitet* och *Kostnadsposter* (beloppen som använts).</w:t>
      </w:r>
    </w:p>
    <w:p>
      <w:pPr>
        <w:pStyle w:val="ListParagraph"/>
        <w:numPr>
          <w:ilvl w:val="0"/>
          <w:numId w:val="3"/>
        </w:numPr>
        <w:spacing w:after="80"/>
      </w:pPr>
      <w:r>
        <w:rPr>
          <w:b/>
          <w:bCs/>
        </w:rPr>
        <w:t xml:space="preserve">Saknad dimension.</w:t>
      </w:r>
      <w:r>
        <w:t xml:space="preserve"> Saknar en ledning dimension i GIS antas den ha samma dimension som ledningen uppströms av samma system (spill, dag, kombinerat eller vatten) – den som ansluter i ledningens uppströms ände. Flödesriktningen tas ur vattengången, annars ritriktningen. Flyter flera ledningar in tas den största. En kedja av ledningar utan dimension fylls steg för steg uppifrån. Finns ingen ledning uppströms med dimension tas ledningen nedströms. Dimension 0 i GIS räknas som saknad. Kolumnen *Dimension antagen från* bredvid Dimension och anmärkningen säger vilken ledning dimensionen kommer från (t.ex. *Ø 225 antagen från uppströms ledning SSL123*), fliken Datakvalitet listar dem och </w:t>
      </w:r>
      <w:r>
        <w:rPr>
          <w:rFonts w:ascii="Consolas" w:cs="Consolas" w:eastAsia="Consolas" w:hAnsi="Consolas"/>
          <w:sz w:val="20"/>
          <w:szCs w:val="20"/>
          <w:shd w:fill="F2F2F2" w:val="clear"/>
        </w:rPr>
        <w:t xml:space="preserve">ledningsresultat.json</w:t>
      </w:r>
      <w:r>
        <w:t xml:space="preserve"> har både den använda dimensionen och GIS-värdet (</w:t>
      </w:r>
      <w:r>
        <w:rPr>
          <w:rFonts w:ascii="Consolas" w:cs="Consolas" w:eastAsia="Consolas" w:hAnsi="Consolas"/>
          <w:sz w:val="20"/>
          <w:szCs w:val="20"/>
          <w:shd w:fill="F2F2F2" w:val="clear"/>
        </w:rPr>
        <w:t xml:space="preserve">dimension_gis</w:t>
      </w:r>
      <w:r>
        <w:t xml:space="preserve">). Stäng av med </w:t>
      </w:r>
      <w:r>
        <w:rPr>
          <w:rFonts w:ascii="Consolas" w:cs="Consolas" w:eastAsia="Consolas" w:hAnsi="Consolas"/>
          <w:sz w:val="20"/>
          <w:szCs w:val="20"/>
          <w:shd w:fill="F2F2F2" w:val="clear"/>
        </w:rPr>
        <w:t xml:space="preserve">DIMENSION_UR_GRANNE = False</w:t>
      </w:r>
      <w:r>
        <w:t xml:space="preserve"> (bara nedströms-reserven: </w:t>
      </w:r>
      <w:r>
        <w:rPr>
          <w:rFonts w:ascii="Consolas" w:cs="Consolas" w:eastAsia="Consolas" w:hAnsi="Consolas"/>
          <w:sz w:val="20"/>
          <w:szCs w:val="20"/>
          <w:shd w:fill="F2F2F2" w:val="clear"/>
        </w:rPr>
        <w:t xml:space="preserve">DIMENSION_NEDSTROMS_RESERV = False</w:t>
      </w:r>
      <w:r>
        <w:t xml:space="preserve">) i KONFIG.</w:t>
      </w:r>
    </w:p>
    <w:p>
      <w:pPr>
        <w:pStyle w:val="ListParagraph"/>
        <w:numPr>
          <w:ilvl w:val="0"/>
          <w:numId w:val="3"/>
        </w:numPr>
        <w:spacing w:after="80"/>
      </w:pPr>
      <w:r>
        <w:t xml:space="preserve">Summorna omfattar bara ledningar som har kostnad i båda alternativen, så att de går att jämföra. Ledningar där dimensionen saknas eller prislistan inte räcker räknas under *Utan kostnad* och listas i fliken Datakvalitet. Saknas djupet räknas omläggningen utan djuptillägg och det står i anmärkningen.</w:t>
      </w:r>
    </w:p>
    <w:p>
      <w:pPr>
        <w:pStyle w:val="ListParagraph"/>
        <w:numPr>
          <w:ilvl w:val="0"/>
          <w:numId w:val="3"/>
        </w:numPr>
        <w:spacing w:after="80"/>
      </w:pPr>
      <w:r>
        <w:rPr>
          <w:b/>
          <w:bCs/>
        </w:rPr>
        <w:t xml:space="preserve">Kostnadsfilen `kostnader_inventering.csv`</w:t>
      </w:r>
      <w:r>
        <w:t xml:space="preserve"> har kolumnerna post, schakttyp, ledningar, storre (antal större än 400 mm i graven), system, dimension från/till, enhet, kr och kommentar; rubrikraden styr ordningen och en tom cell gäller alla. Posterna är infodring, servis_infodring, schakt, djuptillagg, servis_helschakt, servis_tillagg, rorsprackning, inforingsgrop, maskingrop, servisgrop, brunn_ny, aterstallning, slagen_spont (kr/m²), framschaktning och ny_brunn. Belopp som inte finns i kalkylverktyget är märkta ANTAGET eller SCHABLON i kommentaren, och sammanfattningen listar dem.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och kostnaderna per ledning (lager, OID, del), även alt. lägg om per schakttyp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2026-10-22T16:05:01.034Z</dcterms:created>
  <dcterms:modified xsi:type="dcterms:W3CDTF">2026-10-22T16:05:01.034Z</dcterms:modified>
</cp:coreProperties>
</file>

<file path=docProps/custom.xml><?xml version="1.0" encoding="utf-8"?>
<Properties xmlns="http://schemas.openxmlformats.org/officeDocument/2006/custom-properties" xmlns:vt="http://schemas.openxmlformats.org/officeDocument/2006/docPropsVTypes"/>
</file>