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2FD9C">
      <w:pPr>
        <w:pStyle w:val="2"/>
      </w:pPr>
      <w:bookmarkStart w:id="0" w:name="m_Bao_cao_tuan_5_khoang_du_doan_bat_doi_"/>
      <w:r>
        <w:rPr>
          <w:rFonts w:ascii="Times New Roman" w:hAnsi="Times New Roman" w:eastAsia="Times New Roman" w:cs="Times New Roman"/>
          <w:b w:val="0"/>
          <w:i w:val="0"/>
          <w:color w:val="0072B2"/>
          <w:sz w:val="36"/>
        </w:rPr>
        <w:t>Báo cáo tuần 5 — khoảng dự đoán bất đối xứng</w:t>
      </w:r>
      <w:bookmarkEnd w:id="0"/>
      <w:bookmarkStart w:id="4" w:name="_GoBack"/>
      <w:bookmarkEnd w:id="4"/>
    </w:p>
    <w:p w14:paraId="1A850E47">
      <w:pPr>
        <w:pStyle w:val="3"/>
        <w:rPr>
          <w:b/>
          <w:bCs w:val="0"/>
        </w:rPr>
      </w:pPr>
      <w:bookmarkStart w:id="1" w:name="m_1_Model_dang_lech_ve_phia_nao"/>
      <w:r>
        <w:rPr>
          <w:rFonts w:ascii="Times New Roman" w:hAnsi="Times New Roman" w:eastAsia="Times New Roman" w:cs="Times New Roman"/>
          <w:b/>
          <w:bCs w:val="0"/>
          <w:i w:val="0"/>
          <w:color w:val="222222"/>
          <w:sz w:val="31"/>
        </w:rPr>
        <w:t>1. Model đang lệch về phía nào</w:t>
      </w:r>
      <w:bookmarkEnd w:id="1"/>
    </w:p>
    <w:p w14:paraId="5C17B03A">
      <w:pPr>
        <w:jc w:val="both"/>
      </w:pPr>
      <w:r>
        <w:rPr>
          <w:rFonts w:ascii="Times New Roman" w:hAnsi="Times New Roman" w:eastAsia="Times New Roman" w:cs="Times New Roman"/>
          <w:b w:val="0"/>
          <w:i w:val="0"/>
        </w:rPr>
        <w:t xml:space="preserve">Khoảng hiện tại là </w:t>
      </w:r>
      <w:r>
        <w:rPr>
          <w:rFonts w:ascii="Times New Roman" w:hAnsi="Times New Roman" w:eastAsia="Times New Roman" w:cs="Times New Roman"/>
          <w:b w:val="0"/>
          <w:i w:val="0"/>
          <w:color w:val="0072B2"/>
        </w:rPr>
        <w:t>p̂ · (1 ± 30,07%)</w:t>
      </w:r>
      <w:r>
        <w:rPr>
          <w:rFonts w:ascii="Times New Roman" w:hAnsi="Times New Roman" w:eastAsia="Times New Roman" w:cs="Times New Roman"/>
          <w:b w:val="0"/>
          <w:i w:val="0"/>
        </w:rPr>
        <w:t>, đối xứng quanh giá dự đoán. Sai lệch thực tế thì không:</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873"/>
        <w:gridCol w:w="4873"/>
      </w:tblGrid>
      <w:tr w14:paraId="25C722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6A9F9715">
            <w:pPr>
              <w:jc w:val="left"/>
            </w:pPr>
            <w:r>
              <w:rPr>
                <w:rFonts w:ascii="Times New Roman" w:hAnsi="Times New Roman" w:eastAsia="Times New Roman" w:cs="Times New Roman"/>
                <w:b/>
                <w:i w:val="0"/>
                <w:sz w:val="22"/>
              </w:rPr>
              <w:t>Chỉ số</w:t>
            </w:r>
          </w:p>
        </w:tc>
        <w:tc>
          <w:tcPr>
            <w:tcW w:w="4873" w:type="dxa"/>
          </w:tcPr>
          <w:p w14:paraId="64BE896B">
            <w:pPr>
              <w:jc w:val="right"/>
            </w:pPr>
            <w:r>
              <w:rPr>
                <w:rFonts w:ascii="Times New Roman" w:hAnsi="Times New Roman" w:eastAsia="Times New Roman" w:cs="Times New Roman"/>
                <w:b/>
                <w:i w:val="0"/>
                <w:sz w:val="22"/>
              </w:rPr>
              <w:t>Giá trị</w:t>
            </w:r>
          </w:p>
        </w:tc>
      </w:tr>
      <w:tr w14:paraId="0CA5F5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0781727D">
            <w:pPr>
              <w:jc w:val="left"/>
            </w:pPr>
            <w:r>
              <w:rPr>
                <w:rFonts w:ascii="Times New Roman" w:hAnsi="Times New Roman" w:eastAsia="Times New Roman" w:cs="Times New Roman"/>
                <w:b w:val="0"/>
                <w:i w:val="0"/>
                <w:sz w:val="22"/>
              </w:rPr>
              <w:t>Coverage tổng</w:t>
            </w:r>
          </w:p>
        </w:tc>
        <w:tc>
          <w:tcPr>
            <w:tcW w:w="4873" w:type="dxa"/>
          </w:tcPr>
          <w:p w14:paraId="1707C237">
            <w:pPr>
              <w:jc w:val="right"/>
            </w:pPr>
            <w:r>
              <w:rPr>
                <w:rFonts w:ascii="Times New Roman" w:hAnsi="Times New Roman" w:eastAsia="Times New Roman" w:cs="Times New Roman"/>
                <w:b w:val="0"/>
                <w:i w:val="0"/>
                <w:sz w:val="22"/>
              </w:rPr>
              <w:t>89,81%</w:t>
            </w:r>
          </w:p>
        </w:tc>
      </w:tr>
      <w:tr w14:paraId="59C14C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49602F55">
            <w:pPr>
              <w:jc w:val="left"/>
            </w:pPr>
            <w:r>
              <w:rPr>
                <w:rFonts w:ascii="Times New Roman" w:hAnsi="Times New Roman" w:eastAsia="Times New Roman" w:cs="Times New Roman"/>
                <w:b w:val="0"/>
                <w:i w:val="0"/>
                <w:sz w:val="22"/>
              </w:rPr>
              <w:t>Giá thật vượt cận trên</w:t>
            </w:r>
          </w:p>
        </w:tc>
        <w:tc>
          <w:tcPr>
            <w:tcW w:w="4873" w:type="dxa"/>
          </w:tcPr>
          <w:p w14:paraId="3758C56A">
            <w:pPr>
              <w:jc w:val="right"/>
            </w:pPr>
            <w:r>
              <w:rPr>
                <w:rFonts w:ascii="Times New Roman" w:hAnsi="Times New Roman" w:eastAsia="Times New Roman" w:cs="Times New Roman"/>
                <w:b w:val="0"/>
                <w:i w:val="0"/>
                <w:sz w:val="22"/>
              </w:rPr>
              <w:t>7,64%</w:t>
            </w:r>
          </w:p>
        </w:tc>
      </w:tr>
      <w:tr w14:paraId="39012C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60DE3AC3">
            <w:pPr>
              <w:jc w:val="left"/>
            </w:pPr>
            <w:r>
              <w:rPr>
                <w:rFonts w:ascii="Times New Roman" w:hAnsi="Times New Roman" w:eastAsia="Times New Roman" w:cs="Times New Roman"/>
                <w:b w:val="0"/>
                <w:i w:val="0"/>
                <w:sz w:val="22"/>
              </w:rPr>
              <w:t>Giá thật thấp hơn cận dưới</w:t>
            </w:r>
          </w:p>
        </w:tc>
        <w:tc>
          <w:tcPr>
            <w:tcW w:w="4873" w:type="dxa"/>
          </w:tcPr>
          <w:p w14:paraId="68C89D09">
            <w:pPr>
              <w:jc w:val="right"/>
            </w:pPr>
            <w:r>
              <w:rPr>
                <w:rFonts w:ascii="Times New Roman" w:hAnsi="Times New Roman" w:eastAsia="Times New Roman" w:cs="Times New Roman"/>
                <w:b w:val="0"/>
                <w:i w:val="0"/>
                <w:sz w:val="22"/>
              </w:rPr>
              <w:t>2,55%</w:t>
            </w:r>
          </w:p>
        </w:tc>
      </w:tr>
      <w:tr w14:paraId="3B1F2E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27FFCF1C">
            <w:pPr>
              <w:jc w:val="left"/>
            </w:pPr>
            <w:r>
              <w:rPr>
                <w:rFonts w:ascii="Times New Roman" w:hAnsi="Times New Roman" w:eastAsia="Times New Roman" w:cs="Times New Roman"/>
                <w:b w:val="0"/>
                <w:i w:val="0"/>
                <w:sz w:val="22"/>
              </w:rPr>
              <w:t>Tỷ lệ hai phía</w:t>
            </w:r>
          </w:p>
        </w:tc>
        <w:tc>
          <w:tcPr>
            <w:tcW w:w="4873" w:type="dxa"/>
          </w:tcPr>
          <w:p w14:paraId="486ED809">
            <w:pPr>
              <w:jc w:val="right"/>
            </w:pPr>
            <w:r>
              <w:rPr>
                <w:rFonts w:ascii="Times New Roman" w:hAnsi="Times New Roman" w:eastAsia="Times New Roman" w:cs="Times New Roman"/>
                <w:b w:val="0"/>
                <w:i w:val="0"/>
                <w:sz w:val="22"/>
              </w:rPr>
              <w:t>3,00×</w:t>
            </w:r>
          </w:p>
        </w:tc>
      </w:tr>
    </w:tbl>
    <w:p w14:paraId="3B7AFD23"/>
    <w:p w14:paraId="22FE49F8">
      <w:pPr>
        <w:jc w:val="center"/>
      </w:pPr>
      <w:r>
        <w:drawing>
          <wp:inline distT="0" distB="0" distL="114300" distR="114300">
            <wp:extent cx="5939790" cy="18199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1820202"/>
                    </a:xfrm>
                    <a:prstGeom prst="rect">
                      <a:avLst/>
                    </a:prstGeom>
                  </pic:spPr>
                </pic:pic>
              </a:graphicData>
            </a:graphic>
          </wp:inline>
        </w:drawing>
      </w:r>
    </w:p>
    <w:p w14:paraId="12BE4864">
      <w:pPr>
        <w:spacing w:after="240"/>
        <w:jc w:val="center"/>
      </w:pPr>
      <w:r>
        <w:rPr>
          <w:rFonts w:ascii="Times New Roman" w:hAnsi="Times New Roman" w:eastAsia="Times New Roman" w:cs="Times New Roman"/>
          <w:b w:val="0"/>
          <w:i/>
          <w:color w:val="666666"/>
          <w:sz w:val="18"/>
        </w:rPr>
        <w:t>Trái: phân phối sai lệch lệch phải (skew +0,58). Phải: tỷ lệ trượt hai phía theo band giá.</w:t>
      </w:r>
    </w:p>
    <w:p w14:paraId="5D9EAC81">
      <w:pPr>
        <w:jc w:val="both"/>
      </w:pPr>
      <w:r>
        <w:rPr>
          <w:rFonts w:ascii="Times New Roman" w:hAnsi="Times New Roman" w:eastAsia="Times New Roman" w:cs="Times New Roman"/>
          <w:b w:val="0"/>
          <w:i w:val="0"/>
        </w:rPr>
        <w:t xml:space="preserve">Lệch nặng nhất ở band giá cao. Band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có 11,62% vượt cận trên so với 4,59% dưới cận dưới — cả hai đều vượt mức 5% lý tưởng, tức band này vừa lệch vừa hụt coverage.</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249"/>
        <w:gridCol w:w="3249"/>
        <w:gridCol w:w="3249"/>
      </w:tblGrid>
      <w:tr w14:paraId="50DBAD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66B5339C">
            <w:pPr>
              <w:jc w:val="left"/>
            </w:pPr>
            <w:r>
              <w:rPr>
                <w:rFonts w:ascii="Times New Roman" w:hAnsi="Times New Roman" w:eastAsia="Times New Roman" w:cs="Times New Roman"/>
                <w:b/>
                <w:i w:val="0"/>
                <w:sz w:val="22"/>
              </w:rPr>
              <w:t>Band giá dự đoán</w:t>
            </w:r>
          </w:p>
        </w:tc>
        <w:tc>
          <w:tcPr>
            <w:tcW w:w="3249" w:type="dxa"/>
          </w:tcPr>
          <w:p w14:paraId="2E79F7C1">
            <w:pPr>
              <w:jc w:val="right"/>
            </w:pPr>
            <w:r>
              <w:rPr>
                <w:rFonts w:ascii="Times New Roman" w:hAnsi="Times New Roman" w:eastAsia="Times New Roman" w:cs="Times New Roman"/>
                <w:b/>
                <w:i w:val="0"/>
                <w:sz w:val="22"/>
              </w:rPr>
              <w:t>Vượt cận trên</w:t>
            </w:r>
          </w:p>
        </w:tc>
        <w:tc>
          <w:tcPr>
            <w:tcW w:w="3249" w:type="dxa"/>
          </w:tcPr>
          <w:p w14:paraId="43CCAC94">
            <w:pPr>
              <w:jc w:val="right"/>
            </w:pPr>
            <w:r>
              <w:rPr>
                <w:rFonts w:ascii="Times New Roman" w:hAnsi="Times New Roman" w:eastAsia="Times New Roman" w:cs="Times New Roman"/>
                <w:b/>
                <w:i w:val="0"/>
                <w:sz w:val="22"/>
              </w:rPr>
              <w:t>Dưới cận dưới</w:t>
            </w:r>
          </w:p>
        </w:tc>
      </w:tr>
      <w:tr w14:paraId="53C53F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2F0A83D4">
            <w:pPr>
              <w:jc w:val="left"/>
            </w:pPr>
            <w:r>
              <w:rPr>
                <w:rFonts w:ascii="Times New Roman" w:hAnsi="Times New Roman" w:eastAsia="Times New Roman" w:cs="Times New Roman"/>
                <w:b w:val="0"/>
                <w:i w:val="0"/>
                <w:color w:val="0072B2"/>
                <w:sz w:val="22"/>
              </w:rPr>
              <w:t>&lt;50k</w:t>
            </w:r>
          </w:p>
        </w:tc>
        <w:tc>
          <w:tcPr>
            <w:tcW w:w="3249" w:type="dxa"/>
          </w:tcPr>
          <w:p w14:paraId="524B911F">
            <w:pPr>
              <w:jc w:val="right"/>
            </w:pPr>
            <w:r>
              <w:rPr>
                <w:rFonts w:ascii="Times New Roman" w:hAnsi="Times New Roman" w:eastAsia="Times New Roman" w:cs="Times New Roman"/>
                <w:b w:val="0"/>
                <w:i w:val="0"/>
                <w:sz w:val="22"/>
              </w:rPr>
              <w:t>7,03%</w:t>
            </w:r>
          </w:p>
        </w:tc>
        <w:tc>
          <w:tcPr>
            <w:tcW w:w="3249" w:type="dxa"/>
          </w:tcPr>
          <w:p w14:paraId="0B86E1D6">
            <w:pPr>
              <w:jc w:val="right"/>
            </w:pPr>
            <w:r>
              <w:rPr>
                <w:rFonts w:ascii="Times New Roman" w:hAnsi="Times New Roman" w:eastAsia="Times New Roman" w:cs="Times New Roman"/>
                <w:b w:val="0"/>
                <w:i w:val="0"/>
                <w:sz w:val="22"/>
              </w:rPr>
              <w:t>0,55%</w:t>
            </w:r>
          </w:p>
        </w:tc>
      </w:tr>
      <w:tr w14:paraId="23B1A1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7B877215">
            <w:pPr>
              <w:jc w:val="left"/>
            </w:pPr>
            <w:r>
              <w:rPr>
                <w:rFonts w:ascii="Times New Roman" w:hAnsi="Times New Roman" w:eastAsia="Times New Roman" w:cs="Times New Roman"/>
                <w:b w:val="0"/>
                <w:i w:val="0"/>
                <w:color w:val="0072B2"/>
                <w:sz w:val="22"/>
              </w:rPr>
              <w:t>50–100k</w:t>
            </w:r>
          </w:p>
        </w:tc>
        <w:tc>
          <w:tcPr>
            <w:tcW w:w="3249" w:type="dxa"/>
          </w:tcPr>
          <w:p w14:paraId="7DEF029E">
            <w:pPr>
              <w:jc w:val="right"/>
            </w:pPr>
            <w:r>
              <w:rPr>
                <w:rFonts w:ascii="Times New Roman" w:hAnsi="Times New Roman" w:eastAsia="Times New Roman" w:cs="Times New Roman"/>
                <w:b w:val="0"/>
                <w:i w:val="0"/>
                <w:sz w:val="22"/>
              </w:rPr>
              <w:t>7,07%</w:t>
            </w:r>
          </w:p>
        </w:tc>
        <w:tc>
          <w:tcPr>
            <w:tcW w:w="3249" w:type="dxa"/>
          </w:tcPr>
          <w:p w14:paraId="6D604972">
            <w:pPr>
              <w:jc w:val="right"/>
            </w:pPr>
            <w:r>
              <w:rPr>
                <w:rFonts w:ascii="Times New Roman" w:hAnsi="Times New Roman" w:eastAsia="Times New Roman" w:cs="Times New Roman"/>
                <w:b w:val="0"/>
                <w:i w:val="0"/>
                <w:sz w:val="22"/>
              </w:rPr>
              <w:t>2,40%</w:t>
            </w:r>
          </w:p>
        </w:tc>
      </w:tr>
      <w:tr w14:paraId="55BB39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5FD604E0">
            <w:pPr>
              <w:jc w:val="left"/>
            </w:pPr>
            <w:r>
              <w:rPr>
                <w:rFonts w:ascii="Times New Roman" w:hAnsi="Times New Roman" w:eastAsia="Times New Roman" w:cs="Times New Roman"/>
                <w:b w:val="0"/>
                <w:i w:val="0"/>
                <w:color w:val="0072B2"/>
                <w:sz w:val="22"/>
              </w:rPr>
              <w:t>100–150k</w:t>
            </w:r>
          </w:p>
        </w:tc>
        <w:tc>
          <w:tcPr>
            <w:tcW w:w="3249" w:type="dxa"/>
          </w:tcPr>
          <w:p w14:paraId="5BD3DB88">
            <w:pPr>
              <w:jc w:val="right"/>
            </w:pPr>
            <w:r>
              <w:rPr>
                <w:rFonts w:ascii="Times New Roman" w:hAnsi="Times New Roman" w:eastAsia="Times New Roman" w:cs="Times New Roman"/>
                <w:b w:val="0"/>
                <w:i w:val="0"/>
                <w:sz w:val="22"/>
              </w:rPr>
              <w:t>7,91%</w:t>
            </w:r>
          </w:p>
        </w:tc>
        <w:tc>
          <w:tcPr>
            <w:tcW w:w="3249" w:type="dxa"/>
          </w:tcPr>
          <w:p w14:paraId="3A432901">
            <w:pPr>
              <w:jc w:val="right"/>
            </w:pPr>
            <w:r>
              <w:rPr>
                <w:rFonts w:ascii="Times New Roman" w:hAnsi="Times New Roman" w:eastAsia="Times New Roman" w:cs="Times New Roman"/>
                <w:b w:val="0"/>
                <w:i w:val="0"/>
                <w:sz w:val="22"/>
              </w:rPr>
              <w:t>2,71%</w:t>
            </w:r>
          </w:p>
        </w:tc>
      </w:tr>
      <w:tr w14:paraId="4A2A23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6845C152">
            <w:pPr>
              <w:jc w:val="left"/>
            </w:pPr>
            <w:r>
              <w:rPr>
                <w:rFonts w:ascii="Times New Roman" w:hAnsi="Times New Roman" w:eastAsia="Times New Roman" w:cs="Times New Roman"/>
                <w:b w:val="0"/>
                <w:i w:val="0"/>
                <w:color w:val="0072B2"/>
                <w:sz w:val="22"/>
              </w:rPr>
              <w:t>150–200k</w:t>
            </w:r>
          </w:p>
        </w:tc>
        <w:tc>
          <w:tcPr>
            <w:tcW w:w="3249" w:type="dxa"/>
          </w:tcPr>
          <w:p w14:paraId="1C4250CE">
            <w:pPr>
              <w:jc w:val="right"/>
            </w:pPr>
            <w:r>
              <w:rPr>
                <w:rFonts w:ascii="Times New Roman" w:hAnsi="Times New Roman" w:eastAsia="Times New Roman" w:cs="Times New Roman"/>
                <w:b w:val="0"/>
                <w:i w:val="0"/>
                <w:sz w:val="22"/>
              </w:rPr>
              <w:t>7,87%</w:t>
            </w:r>
          </w:p>
        </w:tc>
        <w:tc>
          <w:tcPr>
            <w:tcW w:w="3249" w:type="dxa"/>
          </w:tcPr>
          <w:p w14:paraId="250A98C2">
            <w:pPr>
              <w:jc w:val="right"/>
            </w:pPr>
            <w:r>
              <w:rPr>
                <w:rFonts w:ascii="Times New Roman" w:hAnsi="Times New Roman" w:eastAsia="Times New Roman" w:cs="Times New Roman"/>
                <w:b w:val="0"/>
                <w:i w:val="0"/>
                <w:sz w:val="22"/>
              </w:rPr>
              <w:t>2,52%</w:t>
            </w:r>
          </w:p>
        </w:tc>
      </w:tr>
      <w:tr w14:paraId="4BBD27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594D5E56">
            <w:pPr>
              <w:jc w:val="left"/>
            </w:pPr>
            <w:r>
              <w:rPr>
                <w:rFonts w:ascii="Times New Roman" w:hAnsi="Times New Roman" w:eastAsia="Times New Roman" w:cs="Times New Roman"/>
                <w:b w:val="0"/>
                <w:i w:val="0"/>
                <w:color w:val="0072B2"/>
                <w:sz w:val="22"/>
              </w:rPr>
              <w:t>200–300k</w:t>
            </w:r>
          </w:p>
        </w:tc>
        <w:tc>
          <w:tcPr>
            <w:tcW w:w="3249" w:type="dxa"/>
          </w:tcPr>
          <w:p w14:paraId="13BE4B12">
            <w:pPr>
              <w:jc w:val="right"/>
            </w:pPr>
            <w:r>
              <w:rPr>
                <w:rFonts w:ascii="Times New Roman" w:hAnsi="Times New Roman" w:eastAsia="Times New Roman" w:cs="Times New Roman"/>
                <w:b w:val="0"/>
                <w:i w:val="0"/>
                <w:sz w:val="22"/>
              </w:rPr>
              <w:t>8,01%</w:t>
            </w:r>
          </w:p>
        </w:tc>
        <w:tc>
          <w:tcPr>
            <w:tcW w:w="3249" w:type="dxa"/>
          </w:tcPr>
          <w:p w14:paraId="50053580">
            <w:pPr>
              <w:jc w:val="right"/>
            </w:pPr>
            <w:r>
              <w:rPr>
                <w:rFonts w:ascii="Times New Roman" w:hAnsi="Times New Roman" w:eastAsia="Times New Roman" w:cs="Times New Roman"/>
                <w:b w:val="0"/>
                <w:i w:val="0"/>
                <w:sz w:val="22"/>
              </w:rPr>
              <w:t>2,47%</w:t>
            </w:r>
          </w:p>
        </w:tc>
      </w:tr>
      <w:tr w14:paraId="3AA300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4880E6A9">
            <w:pPr>
              <w:jc w:val="left"/>
            </w:pPr>
            <w:r>
              <w:rPr>
                <w:rFonts w:ascii="Times New Roman" w:hAnsi="Times New Roman" w:eastAsia="Times New Roman" w:cs="Times New Roman"/>
                <w:b w:val="0"/>
                <w:i w:val="0"/>
                <w:color w:val="0072B2"/>
                <w:sz w:val="22"/>
              </w:rPr>
              <w:t>&gt;300k</w:t>
            </w:r>
          </w:p>
        </w:tc>
        <w:tc>
          <w:tcPr>
            <w:tcW w:w="3249" w:type="dxa"/>
          </w:tcPr>
          <w:p w14:paraId="11B9208C">
            <w:pPr>
              <w:jc w:val="right"/>
            </w:pPr>
            <w:r>
              <w:rPr>
                <w:rFonts w:ascii="Times New Roman" w:hAnsi="Times New Roman" w:eastAsia="Times New Roman" w:cs="Times New Roman"/>
                <w:b w:val="0"/>
                <w:i w:val="0"/>
                <w:sz w:val="22"/>
              </w:rPr>
              <w:t>11,62%</w:t>
            </w:r>
          </w:p>
        </w:tc>
        <w:tc>
          <w:tcPr>
            <w:tcW w:w="3249" w:type="dxa"/>
          </w:tcPr>
          <w:p w14:paraId="7AB9613A">
            <w:pPr>
              <w:jc w:val="right"/>
            </w:pPr>
            <w:r>
              <w:rPr>
                <w:rFonts w:ascii="Times New Roman" w:hAnsi="Times New Roman" w:eastAsia="Times New Roman" w:cs="Times New Roman"/>
                <w:b w:val="0"/>
                <w:i w:val="0"/>
                <w:sz w:val="22"/>
              </w:rPr>
              <w:t>4,59%</w:t>
            </w:r>
          </w:p>
        </w:tc>
      </w:tr>
    </w:tbl>
    <w:p w14:paraId="1FDF78B3"/>
    <w:p w14:paraId="1A611158">
      <w:pPr>
        <w:pBdr>
          <w:bottom w:val="single" w:color="BFBFBF" w:sz="6" w:space="0"/>
        </w:pBdr>
      </w:pPr>
    </w:p>
    <w:p w14:paraId="4A676C7A">
      <w:pPr>
        <w:pStyle w:val="3"/>
        <w:rPr>
          <w:b/>
          <w:bCs w:val="0"/>
        </w:rPr>
      </w:pPr>
      <w:bookmarkStart w:id="2" w:name="m_2_Chia_lai_khoang_giua_hai_phia"/>
      <w:r>
        <w:rPr>
          <w:rFonts w:ascii="Times New Roman" w:hAnsi="Times New Roman" w:eastAsia="Times New Roman" w:cs="Times New Roman"/>
          <w:b/>
          <w:bCs w:val="0"/>
          <w:i w:val="0"/>
          <w:color w:val="222222"/>
          <w:sz w:val="31"/>
        </w:rPr>
        <w:t>2. Chia lại khoảng giữa hai phía</w:t>
      </w:r>
      <w:bookmarkEnd w:id="2"/>
    </w:p>
    <w:p w14:paraId="16698FE8">
      <w:pPr>
        <w:jc w:val="both"/>
      </w:pPr>
      <w:r>
        <w:rPr>
          <w:rFonts w:ascii="Times New Roman" w:hAnsi="Times New Roman" w:eastAsia="Times New Roman" w:cs="Times New Roman"/>
          <w:b w:val="0"/>
          <w:i w:val="0"/>
        </w:rPr>
        <w:t xml:space="preserve">Giữ tổng rủi ro 10%, chia lại thành </w:t>
      </w:r>
      <w:r>
        <w:rPr>
          <w:rFonts w:ascii="Times New Roman" w:hAnsi="Times New Roman" w:eastAsia="Times New Roman" w:cs="Times New Roman"/>
          <w:b w:val="0"/>
          <w:i w:val="0"/>
          <w:color w:val="0072B2"/>
        </w:rPr>
        <w:t>α dưới</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α trên</w:t>
      </w:r>
      <w:r>
        <w:rPr>
          <w:rFonts w:ascii="Times New Roman" w:hAnsi="Times New Roman" w:eastAsia="Times New Roman" w:cs="Times New Roman"/>
          <w:b w:val="0"/>
          <w:i w:val="0"/>
        </w:rPr>
        <w:t xml:space="preserve">. Hai cận lấy từ phân vị một phía của sai lệch có dấu trên tập calibration. </w:t>
      </w:r>
      <w:r>
        <w:rPr>
          <w:rFonts w:ascii="Times New Roman" w:hAnsi="Times New Roman" w:eastAsia="Times New Roman" w:cs="Times New Roman"/>
          <w:b w:val="0"/>
          <w:i w:val="0"/>
          <w:color w:val="0072B2"/>
        </w:rPr>
        <w:t>α trên</w:t>
      </w:r>
      <w:r>
        <w:rPr>
          <w:rFonts w:ascii="Times New Roman" w:hAnsi="Times New Roman" w:eastAsia="Times New Roman" w:cs="Times New Roman"/>
          <w:b w:val="0"/>
          <w:i w:val="0"/>
        </w:rPr>
        <w:t xml:space="preserve"> càng nhỏ thì cận trên càng cao, tức dành nhiều khoảng hơn cho phía giá cao.</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3B42D4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91CF532">
            <w:pPr>
              <w:jc w:val="left"/>
            </w:pPr>
            <w:r>
              <w:rPr>
                <w:rFonts w:ascii="Times New Roman" w:hAnsi="Times New Roman" w:eastAsia="Times New Roman" w:cs="Times New Roman"/>
                <w:b/>
                <w:i w:val="0"/>
                <w:sz w:val="22"/>
              </w:rPr>
              <w:t>α dưới / α trên</w:t>
            </w:r>
          </w:p>
        </w:tc>
        <w:tc>
          <w:tcPr>
            <w:tcW w:w="1392" w:type="dxa"/>
          </w:tcPr>
          <w:p w14:paraId="314547CC">
            <w:pPr>
              <w:jc w:val="right"/>
            </w:pPr>
            <w:r>
              <w:rPr>
                <w:rFonts w:ascii="Times New Roman" w:hAnsi="Times New Roman" w:eastAsia="Times New Roman" w:cs="Times New Roman"/>
                <w:b/>
                <w:i w:val="0"/>
                <w:sz w:val="22"/>
              </w:rPr>
              <w:t>Khoảng phía dưới</w:t>
            </w:r>
          </w:p>
        </w:tc>
        <w:tc>
          <w:tcPr>
            <w:tcW w:w="1392" w:type="dxa"/>
          </w:tcPr>
          <w:p w14:paraId="48FF37C3">
            <w:pPr>
              <w:jc w:val="right"/>
            </w:pPr>
            <w:r>
              <w:rPr>
                <w:rFonts w:ascii="Times New Roman" w:hAnsi="Times New Roman" w:eastAsia="Times New Roman" w:cs="Times New Roman"/>
                <w:b/>
                <w:i w:val="0"/>
                <w:sz w:val="22"/>
              </w:rPr>
              <w:t>Khoảng phía trên</w:t>
            </w:r>
          </w:p>
        </w:tc>
        <w:tc>
          <w:tcPr>
            <w:tcW w:w="1392" w:type="dxa"/>
          </w:tcPr>
          <w:p w14:paraId="05F975D9">
            <w:pPr>
              <w:jc w:val="right"/>
            </w:pPr>
            <w:r>
              <w:rPr>
                <w:rFonts w:ascii="Times New Roman" w:hAnsi="Times New Roman" w:eastAsia="Times New Roman" w:cs="Times New Roman"/>
                <w:b/>
                <w:i w:val="0"/>
                <w:sz w:val="22"/>
              </w:rPr>
              <w:t>Coverage</w:t>
            </w:r>
          </w:p>
        </w:tc>
        <w:tc>
          <w:tcPr>
            <w:tcW w:w="1392" w:type="dxa"/>
          </w:tcPr>
          <w:p w14:paraId="0519870F">
            <w:pPr>
              <w:jc w:val="right"/>
            </w:pPr>
            <w:r>
              <w:rPr>
                <w:rFonts w:ascii="Times New Roman" w:hAnsi="Times New Roman" w:eastAsia="Times New Roman" w:cs="Times New Roman"/>
                <w:b/>
                <w:i w:val="0"/>
                <w:sz w:val="22"/>
              </w:rPr>
              <w:t>Độ rộng TB</w:t>
            </w:r>
          </w:p>
        </w:tc>
        <w:tc>
          <w:tcPr>
            <w:tcW w:w="1392" w:type="dxa"/>
          </w:tcPr>
          <w:p w14:paraId="48E8B3A0">
            <w:pPr>
              <w:jc w:val="right"/>
            </w:pPr>
            <w:r>
              <w:rPr>
                <w:rFonts w:ascii="Times New Roman" w:hAnsi="Times New Roman" w:eastAsia="Times New Roman" w:cs="Times New Roman"/>
                <w:b/>
                <w:i w:val="0"/>
                <w:sz w:val="22"/>
              </w:rPr>
              <w:t>Vượt trên</w:t>
            </w:r>
          </w:p>
        </w:tc>
        <w:tc>
          <w:tcPr>
            <w:tcW w:w="1392" w:type="dxa"/>
          </w:tcPr>
          <w:p w14:paraId="182FE04A">
            <w:pPr>
              <w:jc w:val="right"/>
            </w:pPr>
            <w:r>
              <w:rPr>
                <w:rFonts w:ascii="Times New Roman" w:hAnsi="Times New Roman" w:eastAsia="Times New Roman" w:cs="Times New Roman"/>
                <w:b/>
                <w:i w:val="0"/>
                <w:sz w:val="22"/>
              </w:rPr>
              <w:t>Dưới cận dưới</w:t>
            </w:r>
          </w:p>
        </w:tc>
      </w:tr>
      <w:tr w14:paraId="070884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33389019">
            <w:pPr>
              <w:jc w:val="left"/>
            </w:pPr>
            <w:r>
              <w:rPr>
                <w:rFonts w:ascii="Times New Roman" w:hAnsi="Times New Roman" w:eastAsia="Times New Roman" w:cs="Times New Roman"/>
                <w:b w:val="0"/>
                <w:i w:val="0"/>
                <w:sz w:val="22"/>
              </w:rPr>
              <w:t>Đối xứng hiện tại</w:t>
            </w:r>
          </w:p>
        </w:tc>
        <w:tc>
          <w:tcPr>
            <w:tcW w:w="1392" w:type="dxa"/>
          </w:tcPr>
          <w:p w14:paraId="35E7AEBB">
            <w:pPr>
              <w:jc w:val="right"/>
            </w:pPr>
            <w:r>
              <w:rPr>
                <w:rFonts w:ascii="Times New Roman" w:hAnsi="Times New Roman" w:eastAsia="Times New Roman" w:cs="Times New Roman"/>
                <w:b w:val="0"/>
                <w:i w:val="0"/>
                <w:sz w:val="22"/>
              </w:rPr>
              <w:t>30,07%</w:t>
            </w:r>
          </w:p>
        </w:tc>
        <w:tc>
          <w:tcPr>
            <w:tcW w:w="1392" w:type="dxa"/>
          </w:tcPr>
          <w:p w14:paraId="5ACA9083">
            <w:pPr>
              <w:jc w:val="right"/>
            </w:pPr>
            <w:r>
              <w:rPr>
                <w:rFonts w:ascii="Times New Roman" w:hAnsi="Times New Roman" w:eastAsia="Times New Roman" w:cs="Times New Roman"/>
                <w:b w:val="0"/>
                <w:i w:val="0"/>
                <w:sz w:val="22"/>
              </w:rPr>
              <w:t>30,07%</w:t>
            </w:r>
          </w:p>
        </w:tc>
        <w:tc>
          <w:tcPr>
            <w:tcW w:w="1392" w:type="dxa"/>
          </w:tcPr>
          <w:p w14:paraId="4FA0E625">
            <w:pPr>
              <w:jc w:val="right"/>
            </w:pPr>
            <w:r>
              <w:rPr>
                <w:rFonts w:ascii="Times New Roman" w:hAnsi="Times New Roman" w:eastAsia="Times New Roman" w:cs="Times New Roman"/>
                <w:b w:val="0"/>
                <w:i w:val="0"/>
                <w:sz w:val="22"/>
              </w:rPr>
              <w:t>89,81%</w:t>
            </w:r>
          </w:p>
        </w:tc>
        <w:tc>
          <w:tcPr>
            <w:tcW w:w="1392" w:type="dxa"/>
          </w:tcPr>
          <w:p w14:paraId="63FE1178">
            <w:pPr>
              <w:jc w:val="right"/>
            </w:pPr>
            <w:r>
              <w:rPr>
                <w:rFonts w:ascii="Times New Roman" w:hAnsi="Times New Roman" w:eastAsia="Times New Roman" w:cs="Times New Roman"/>
                <w:b w:val="0"/>
                <w:i w:val="0"/>
                <w:sz w:val="22"/>
              </w:rPr>
              <w:t>72.637đ</w:t>
            </w:r>
          </w:p>
        </w:tc>
        <w:tc>
          <w:tcPr>
            <w:tcW w:w="1392" w:type="dxa"/>
          </w:tcPr>
          <w:p w14:paraId="1603ABEB">
            <w:pPr>
              <w:jc w:val="right"/>
            </w:pPr>
            <w:r>
              <w:rPr>
                <w:rFonts w:ascii="Times New Roman" w:hAnsi="Times New Roman" w:eastAsia="Times New Roman" w:cs="Times New Roman"/>
                <w:b w:val="0"/>
                <w:i w:val="0"/>
                <w:sz w:val="22"/>
              </w:rPr>
              <w:t>7,64%</w:t>
            </w:r>
          </w:p>
        </w:tc>
        <w:tc>
          <w:tcPr>
            <w:tcW w:w="1392" w:type="dxa"/>
          </w:tcPr>
          <w:p w14:paraId="0176B39E">
            <w:pPr>
              <w:jc w:val="right"/>
            </w:pPr>
            <w:r>
              <w:rPr>
                <w:rFonts w:ascii="Times New Roman" w:hAnsi="Times New Roman" w:eastAsia="Times New Roman" w:cs="Times New Roman"/>
                <w:b w:val="0"/>
                <w:i w:val="0"/>
                <w:sz w:val="22"/>
              </w:rPr>
              <w:t>2,55%</w:t>
            </w:r>
          </w:p>
        </w:tc>
      </w:tr>
      <w:tr w14:paraId="649FFA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49D46A33">
            <w:pPr>
              <w:jc w:val="left"/>
            </w:pPr>
            <w:r>
              <w:rPr>
                <w:rFonts w:ascii="Times New Roman" w:hAnsi="Times New Roman" w:eastAsia="Times New Roman" w:cs="Times New Roman"/>
                <w:b w:val="0"/>
                <w:i w:val="0"/>
                <w:sz w:val="22"/>
              </w:rPr>
              <w:t>1% / 9%</w:t>
            </w:r>
          </w:p>
        </w:tc>
        <w:tc>
          <w:tcPr>
            <w:tcW w:w="1392" w:type="dxa"/>
          </w:tcPr>
          <w:p w14:paraId="7A1D4E8B">
            <w:pPr>
              <w:jc w:val="right"/>
            </w:pPr>
            <w:r>
              <w:rPr>
                <w:rFonts w:ascii="Times New Roman" w:hAnsi="Times New Roman" w:eastAsia="Times New Roman" w:cs="Times New Roman"/>
                <w:b w:val="0"/>
                <w:i w:val="0"/>
                <w:sz w:val="22"/>
              </w:rPr>
              <w:t>34,88%</w:t>
            </w:r>
          </w:p>
        </w:tc>
        <w:tc>
          <w:tcPr>
            <w:tcW w:w="1392" w:type="dxa"/>
          </w:tcPr>
          <w:p w14:paraId="28DCF8F6">
            <w:pPr>
              <w:jc w:val="right"/>
            </w:pPr>
            <w:r>
              <w:rPr>
                <w:rFonts w:ascii="Times New Roman" w:hAnsi="Times New Roman" w:eastAsia="Times New Roman" w:cs="Times New Roman"/>
                <w:b w:val="0"/>
                <w:i w:val="0"/>
                <w:sz w:val="22"/>
              </w:rPr>
              <w:t>27,43%</w:t>
            </w:r>
          </w:p>
        </w:tc>
        <w:tc>
          <w:tcPr>
            <w:tcW w:w="1392" w:type="dxa"/>
          </w:tcPr>
          <w:p w14:paraId="1AEA78AF">
            <w:pPr>
              <w:jc w:val="right"/>
            </w:pPr>
            <w:r>
              <w:rPr>
                <w:rFonts w:ascii="Times New Roman" w:hAnsi="Times New Roman" w:eastAsia="Times New Roman" w:cs="Times New Roman"/>
                <w:b w:val="0"/>
                <w:i w:val="0"/>
                <w:sz w:val="22"/>
              </w:rPr>
              <w:t>89,66%</w:t>
            </w:r>
          </w:p>
        </w:tc>
        <w:tc>
          <w:tcPr>
            <w:tcW w:w="1392" w:type="dxa"/>
          </w:tcPr>
          <w:p w14:paraId="6CB1C27B">
            <w:pPr>
              <w:jc w:val="right"/>
            </w:pPr>
            <w:r>
              <w:rPr>
                <w:rFonts w:ascii="Times New Roman" w:hAnsi="Times New Roman" w:eastAsia="Times New Roman" w:cs="Times New Roman"/>
                <w:b w:val="0"/>
                <w:i w:val="0"/>
                <w:sz w:val="22"/>
              </w:rPr>
              <w:t>75.249đ</w:t>
            </w:r>
          </w:p>
        </w:tc>
        <w:tc>
          <w:tcPr>
            <w:tcW w:w="1392" w:type="dxa"/>
          </w:tcPr>
          <w:p w14:paraId="483BF32F">
            <w:pPr>
              <w:jc w:val="right"/>
            </w:pPr>
            <w:r>
              <w:rPr>
                <w:rFonts w:ascii="Times New Roman" w:hAnsi="Times New Roman" w:eastAsia="Times New Roman" w:cs="Times New Roman"/>
                <w:b w:val="0"/>
                <w:i w:val="0"/>
                <w:sz w:val="22"/>
              </w:rPr>
              <w:t>9,39%</w:t>
            </w:r>
          </w:p>
        </w:tc>
        <w:tc>
          <w:tcPr>
            <w:tcW w:w="1392" w:type="dxa"/>
          </w:tcPr>
          <w:p w14:paraId="6E2189B4">
            <w:pPr>
              <w:jc w:val="right"/>
            </w:pPr>
            <w:r>
              <w:rPr>
                <w:rFonts w:ascii="Times New Roman" w:hAnsi="Times New Roman" w:eastAsia="Times New Roman" w:cs="Times New Roman"/>
                <w:b w:val="0"/>
                <w:i w:val="0"/>
                <w:sz w:val="22"/>
              </w:rPr>
              <w:t>0,95%</w:t>
            </w:r>
          </w:p>
        </w:tc>
      </w:tr>
      <w:tr w14:paraId="019154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A6ACAB9">
            <w:pPr>
              <w:jc w:val="left"/>
            </w:pPr>
            <w:r>
              <w:rPr>
                <w:rFonts w:ascii="Times New Roman" w:hAnsi="Times New Roman" w:eastAsia="Times New Roman" w:cs="Times New Roman"/>
                <w:b w:val="0"/>
                <w:i w:val="0"/>
                <w:sz w:val="22"/>
              </w:rPr>
              <w:t>2% / 8%</w:t>
            </w:r>
          </w:p>
        </w:tc>
        <w:tc>
          <w:tcPr>
            <w:tcW w:w="1392" w:type="dxa"/>
          </w:tcPr>
          <w:p w14:paraId="18897D18">
            <w:pPr>
              <w:jc w:val="right"/>
            </w:pPr>
            <w:r>
              <w:rPr>
                <w:rFonts w:ascii="Times New Roman" w:hAnsi="Times New Roman" w:eastAsia="Times New Roman" w:cs="Times New Roman"/>
                <w:b w:val="0"/>
                <w:i w:val="0"/>
                <w:sz w:val="22"/>
              </w:rPr>
              <w:t>31,57%</w:t>
            </w:r>
          </w:p>
        </w:tc>
        <w:tc>
          <w:tcPr>
            <w:tcW w:w="1392" w:type="dxa"/>
          </w:tcPr>
          <w:p w14:paraId="781BF1DB">
            <w:pPr>
              <w:jc w:val="right"/>
            </w:pPr>
            <w:r>
              <w:rPr>
                <w:rFonts w:ascii="Times New Roman" w:hAnsi="Times New Roman" w:eastAsia="Times New Roman" w:cs="Times New Roman"/>
                <w:b w:val="0"/>
                <w:i w:val="0"/>
                <w:sz w:val="22"/>
              </w:rPr>
              <w:t>28,93%</w:t>
            </w:r>
          </w:p>
        </w:tc>
        <w:tc>
          <w:tcPr>
            <w:tcW w:w="1392" w:type="dxa"/>
          </w:tcPr>
          <w:p w14:paraId="56B8FF8E">
            <w:pPr>
              <w:jc w:val="right"/>
            </w:pPr>
            <w:r>
              <w:rPr>
                <w:rFonts w:ascii="Times New Roman" w:hAnsi="Times New Roman" w:eastAsia="Times New Roman" w:cs="Times New Roman"/>
                <w:b w:val="0"/>
                <w:i w:val="0"/>
                <w:sz w:val="22"/>
              </w:rPr>
              <w:t>89,73%</w:t>
            </w:r>
          </w:p>
        </w:tc>
        <w:tc>
          <w:tcPr>
            <w:tcW w:w="1392" w:type="dxa"/>
          </w:tcPr>
          <w:p w14:paraId="49D8C47A">
            <w:pPr>
              <w:jc w:val="right"/>
            </w:pPr>
            <w:r>
              <w:rPr>
                <w:rFonts w:ascii="Times New Roman" w:hAnsi="Times New Roman" w:eastAsia="Times New Roman" w:cs="Times New Roman"/>
                <w:b w:val="0"/>
                <w:i w:val="0"/>
                <w:sz w:val="22"/>
              </w:rPr>
              <w:t>73.071đ</w:t>
            </w:r>
          </w:p>
        </w:tc>
        <w:tc>
          <w:tcPr>
            <w:tcW w:w="1392" w:type="dxa"/>
          </w:tcPr>
          <w:p w14:paraId="1C2F3F7B">
            <w:pPr>
              <w:jc w:val="right"/>
            </w:pPr>
            <w:r>
              <w:rPr>
                <w:rFonts w:ascii="Times New Roman" w:hAnsi="Times New Roman" w:eastAsia="Times New Roman" w:cs="Times New Roman"/>
                <w:b w:val="0"/>
                <w:i w:val="0"/>
                <w:sz w:val="22"/>
              </w:rPr>
              <w:t>8,34%</w:t>
            </w:r>
          </w:p>
        </w:tc>
        <w:tc>
          <w:tcPr>
            <w:tcW w:w="1392" w:type="dxa"/>
          </w:tcPr>
          <w:p w14:paraId="3408D8D3">
            <w:pPr>
              <w:jc w:val="right"/>
            </w:pPr>
            <w:r>
              <w:rPr>
                <w:rFonts w:ascii="Times New Roman" w:hAnsi="Times New Roman" w:eastAsia="Times New Roman" w:cs="Times New Roman"/>
                <w:b w:val="0"/>
                <w:i w:val="0"/>
                <w:sz w:val="22"/>
              </w:rPr>
              <w:t>1,93%</w:t>
            </w:r>
          </w:p>
        </w:tc>
      </w:tr>
      <w:tr w14:paraId="2769D5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18C01012">
            <w:pPr>
              <w:jc w:val="left"/>
            </w:pPr>
            <w:r>
              <w:rPr>
                <w:rFonts w:ascii="Times New Roman" w:hAnsi="Times New Roman" w:eastAsia="Times New Roman" w:cs="Times New Roman"/>
                <w:b w:val="0"/>
                <w:i w:val="0"/>
                <w:sz w:val="22"/>
              </w:rPr>
              <w:t>3% / 7%</w:t>
            </w:r>
          </w:p>
        </w:tc>
        <w:tc>
          <w:tcPr>
            <w:tcW w:w="1392" w:type="dxa"/>
          </w:tcPr>
          <w:p w14:paraId="0B636F2F">
            <w:pPr>
              <w:jc w:val="right"/>
            </w:pPr>
            <w:r>
              <w:rPr>
                <w:rFonts w:ascii="Times New Roman" w:hAnsi="Times New Roman" w:eastAsia="Times New Roman" w:cs="Times New Roman"/>
                <w:b w:val="0"/>
                <w:i w:val="0"/>
                <w:sz w:val="22"/>
              </w:rPr>
              <w:t>29,37%</w:t>
            </w:r>
          </w:p>
        </w:tc>
        <w:tc>
          <w:tcPr>
            <w:tcW w:w="1392" w:type="dxa"/>
          </w:tcPr>
          <w:p w14:paraId="598EDD37">
            <w:pPr>
              <w:jc w:val="right"/>
            </w:pPr>
            <w:r>
              <w:rPr>
                <w:rFonts w:ascii="Times New Roman" w:hAnsi="Times New Roman" w:eastAsia="Times New Roman" w:cs="Times New Roman"/>
                <w:b w:val="0"/>
                <w:i w:val="0"/>
                <w:sz w:val="22"/>
              </w:rPr>
              <w:t>30,70%</w:t>
            </w:r>
          </w:p>
        </w:tc>
        <w:tc>
          <w:tcPr>
            <w:tcW w:w="1392" w:type="dxa"/>
          </w:tcPr>
          <w:p w14:paraId="5B5D5F1D">
            <w:pPr>
              <w:jc w:val="right"/>
            </w:pPr>
            <w:r>
              <w:rPr>
                <w:rFonts w:ascii="Times New Roman" w:hAnsi="Times New Roman" w:eastAsia="Times New Roman" w:cs="Times New Roman"/>
                <w:b w:val="0"/>
                <w:i w:val="0"/>
                <w:sz w:val="22"/>
              </w:rPr>
              <w:t>89,81%</w:t>
            </w:r>
          </w:p>
        </w:tc>
        <w:tc>
          <w:tcPr>
            <w:tcW w:w="1392" w:type="dxa"/>
          </w:tcPr>
          <w:p w14:paraId="374C2C90">
            <w:pPr>
              <w:jc w:val="right"/>
            </w:pPr>
            <w:r>
              <w:rPr>
                <w:rFonts w:ascii="Times New Roman" w:hAnsi="Times New Roman" w:eastAsia="Times New Roman" w:cs="Times New Roman"/>
                <w:b w:val="0"/>
                <w:i w:val="0"/>
                <w:sz w:val="22"/>
              </w:rPr>
              <w:t>72.541đ</w:t>
            </w:r>
          </w:p>
        </w:tc>
        <w:tc>
          <w:tcPr>
            <w:tcW w:w="1392" w:type="dxa"/>
          </w:tcPr>
          <w:p w14:paraId="7F94CFF0">
            <w:pPr>
              <w:jc w:val="right"/>
            </w:pPr>
            <w:r>
              <w:rPr>
                <w:rFonts w:ascii="Times New Roman" w:hAnsi="Times New Roman" w:eastAsia="Times New Roman" w:cs="Times New Roman"/>
                <w:b w:val="0"/>
                <w:i w:val="0"/>
                <w:sz w:val="22"/>
              </w:rPr>
              <w:t>7,30%</w:t>
            </w:r>
          </w:p>
        </w:tc>
        <w:tc>
          <w:tcPr>
            <w:tcW w:w="1392" w:type="dxa"/>
          </w:tcPr>
          <w:p w14:paraId="53C37CA6">
            <w:pPr>
              <w:jc w:val="right"/>
            </w:pPr>
            <w:r>
              <w:rPr>
                <w:rFonts w:ascii="Times New Roman" w:hAnsi="Times New Roman" w:eastAsia="Times New Roman" w:cs="Times New Roman"/>
                <w:b w:val="0"/>
                <w:i w:val="0"/>
                <w:sz w:val="22"/>
              </w:rPr>
              <w:t>2,90%</w:t>
            </w:r>
          </w:p>
        </w:tc>
      </w:tr>
      <w:tr w14:paraId="55C54F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1FD4808C">
            <w:pPr>
              <w:jc w:val="left"/>
            </w:pPr>
            <w:r>
              <w:rPr>
                <w:rFonts w:ascii="Times New Roman" w:hAnsi="Times New Roman" w:eastAsia="Times New Roman" w:cs="Times New Roman"/>
                <w:b w:val="0"/>
                <w:i w:val="0"/>
                <w:sz w:val="22"/>
              </w:rPr>
              <w:t>4% / 6%</w:t>
            </w:r>
          </w:p>
        </w:tc>
        <w:tc>
          <w:tcPr>
            <w:tcW w:w="1392" w:type="dxa"/>
          </w:tcPr>
          <w:p w14:paraId="31DB1CC2">
            <w:pPr>
              <w:jc w:val="right"/>
            </w:pPr>
            <w:r>
              <w:rPr>
                <w:rFonts w:ascii="Times New Roman" w:hAnsi="Times New Roman" w:eastAsia="Times New Roman" w:cs="Times New Roman"/>
                <w:b w:val="0"/>
                <w:i w:val="0"/>
                <w:sz w:val="22"/>
              </w:rPr>
              <w:t>27,63%</w:t>
            </w:r>
          </w:p>
        </w:tc>
        <w:tc>
          <w:tcPr>
            <w:tcW w:w="1392" w:type="dxa"/>
          </w:tcPr>
          <w:p w14:paraId="5F374F3F">
            <w:pPr>
              <w:jc w:val="right"/>
            </w:pPr>
            <w:r>
              <w:rPr>
                <w:rFonts w:ascii="Times New Roman" w:hAnsi="Times New Roman" w:eastAsia="Times New Roman" w:cs="Times New Roman"/>
                <w:b w:val="0"/>
                <w:i w:val="0"/>
                <w:sz w:val="22"/>
              </w:rPr>
              <w:t>32,61%</w:t>
            </w:r>
          </w:p>
        </w:tc>
        <w:tc>
          <w:tcPr>
            <w:tcW w:w="1392" w:type="dxa"/>
          </w:tcPr>
          <w:p w14:paraId="0EBD2DBB">
            <w:pPr>
              <w:jc w:val="right"/>
            </w:pPr>
            <w:r>
              <w:rPr>
                <w:rFonts w:ascii="Times New Roman" w:hAnsi="Times New Roman" w:eastAsia="Times New Roman" w:cs="Times New Roman"/>
                <w:b w:val="0"/>
                <w:i w:val="0"/>
                <w:sz w:val="22"/>
              </w:rPr>
              <w:t>89,88%</w:t>
            </w:r>
          </w:p>
        </w:tc>
        <w:tc>
          <w:tcPr>
            <w:tcW w:w="1392" w:type="dxa"/>
          </w:tcPr>
          <w:p w14:paraId="2AAFB45E">
            <w:pPr>
              <w:jc w:val="right"/>
            </w:pPr>
            <w:r>
              <w:rPr>
                <w:rFonts w:ascii="Times New Roman" w:hAnsi="Times New Roman" w:eastAsia="Times New Roman" w:cs="Times New Roman"/>
                <w:b w:val="0"/>
                <w:i w:val="0"/>
                <w:sz w:val="22"/>
              </w:rPr>
              <w:t>72.753đ</w:t>
            </w:r>
          </w:p>
        </w:tc>
        <w:tc>
          <w:tcPr>
            <w:tcW w:w="1392" w:type="dxa"/>
          </w:tcPr>
          <w:p w14:paraId="47B3654E">
            <w:pPr>
              <w:jc w:val="right"/>
            </w:pPr>
            <w:r>
              <w:rPr>
                <w:rFonts w:ascii="Times New Roman" w:hAnsi="Times New Roman" w:eastAsia="Times New Roman" w:cs="Times New Roman"/>
                <w:b w:val="0"/>
                <w:i w:val="0"/>
                <w:sz w:val="22"/>
              </w:rPr>
              <w:t>6,26%</w:t>
            </w:r>
          </w:p>
        </w:tc>
        <w:tc>
          <w:tcPr>
            <w:tcW w:w="1392" w:type="dxa"/>
          </w:tcPr>
          <w:p w14:paraId="2A4027B5">
            <w:pPr>
              <w:jc w:val="right"/>
            </w:pPr>
            <w:r>
              <w:rPr>
                <w:rFonts w:ascii="Times New Roman" w:hAnsi="Times New Roman" w:eastAsia="Times New Roman" w:cs="Times New Roman"/>
                <w:b w:val="0"/>
                <w:i w:val="0"/>
                <w:sz w:val="22"/>
              </w:rPr>
              <w:t>3,86%</w:t>
            </w:r>
          </w:p>
        </w:tc>
      </w:tr>
      <w:tr w14:paraId="575A8C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5F7721A1">
            <w:pPr>
              <w:jc w:val="left"/>
            </w:pPr>
            <w:r>
              <w:rPr>
                <w:rFonts w:ascii="Times New Roman" w:hAnsi="Times New Roman" w:eastAsia="Times New Roman" w:cs="Times New Roman"/>
                <w:b w:val="0"/>
                <w:i w:val="0"/>
                <w:sz w:val="22"/>
              </w:rPr>
              <w:t>5% / 5%</w:t>
            </w:r>
          </w:p>
        </w:tc>
        <w:tc>
          <w:tcPr>
            <w:tcW w:w="1392" w:type="dxa"/>
          </w:tcPr>
          <w:p w14:paraId="1A4EAA45">
            <w:pPr>
              <w:jc w:val="right"/>
            </w:pPr>
            <w:r>
              <w:rPr>
                <w:rFonts w:ascii="Times New Roman" w:hAnsi="Times New Roman" w:eastAsia="Times New Roman" w:cs="Times New Roman"/>
                <w:b w:val="0"/>
                <w:i w:val="0"/>
                <w:sz w:val="22"/>
              </w:rPr>
              <w:t>26,18%</w:t>
            </w:r>
          </w:p>
        </w:tc>
        <w:tc>
          <w:tcPr>
            <w:tcW w:w="1392" w:type="dxa"/>
          </w:tcPr>
          <w:p w14:paraId="017565A9">
            <w:pPr>
              <w:jc w:val="right"/>
            </w:pPr>
            <w:r>
              <w:rPr>
                <w:rFonts w:ascii="Times New Roman" w:hAnsi="Times New Roman" w:eastAsia="Times New Roman" w:cs="Times New Roman"/>
                <w:b w:val="0"/>
                <w:i w:val="0"/>
                <w:sz w:val="22"/>
              </w:rPr>
              <w:t>34,76%</w:t>
            </w:r>
          </w:p>
        </w:tc>
        <w:tc>
          <w:tcPr>
            <w:tcW w:w="1392" w:type="dxa"/>
          </w:tcPr>
          <w:p w14:paraId="3E96DAA7">
            <w:pPr>
              <w:jc w:val="right"/>
            </w:pPr>
            <w:r>
              <w:rPr>
                <w:rFonts w:ascii="Times New Roman" w:hAnsi="Times New Roman" w:eastAsia="Times New Roman" w:cs="Times New Roman"/>
                <w:b w:val="0"/>
                <w:i w:val="0"/>
                <w:sz w:val="22"/>
              </w:rPr>
              <w:t>89,92%</w:t>
            </w:r>
          </w:p>
        </w:tc>
        <w:tc>
          <w:tcPr>
            <w:tcW w:w="1392" w:type="dxa"/>
          </w:tcPr>
          <w:p w14:paraId="20CE08F2">
            <w:pPr>
              <w:jc w:val="right"/>
            </w:pPr>
            <w:r>
              <w:rPr>
                <w:rFonts w:ascii="Times New Roman" w:hAnsi="Times New Roman" w:eastAsia="Times New Roman" w:cs="Times New Roman"/>
                <w:b w:val="0"/>
                <w:i w:val="0"/>
                <w:sz w:val="22"/>
              </w:rPr>
              <w:t>73.598đ</w:t>
            </w:r>
          </w:p>
        </w:tc>
        <w:tc>
          <w:tcPr>
            <w:tcW w:w="1392" w:type="dxa"/>
          </w:tcPr>
          <w:p w14:paraId="59F288CE">
            <w:pPr>
              <w:jc w:val="right"/>
            </w:pPr>
            <w:r>
              <w:rPr>
                <w:rFonts w:ascii="Times New Roman" w:hAnsi="Times New Roman" w:eastAsia="Times New Roman" w:cs="Times New Roman"/>
                <w:b w:val="0"/>
                <w:i w:val="0"/>
                <w:sz w:val="22"/>
              </w:rPr>
              <w:t>5,27%</w:t>
            </w:r>
          </w:p>
        </w:tc>
        <w:tc>
          <w:tcPr>
            <w:tcW w:w="1392" w:type="dxa"/>
          </w:tcPr>
          <w:p w14:paraId="52E0F97D">
            <w:pPr>
              <w:jc w:val="right"/>
            </w:pPr>
            <w:r>
              <w:rPr>
                <w:rFonts w:ascii="Times New Roman" w:hAnsi="Times New Roman" w:eastAsia="Times New Roman" w:cs="Times New Roman"/>
                <w:b w:val="0"/>
                <w:i w:val="0"/>
                <w:sz w:val="22"/>
              </w:rPr>
              <w:t>4,81%</w:t>
            </w:r>
          </w:p>
        </w:tc>
      </w:tr>
      <w:tr w14:paraId="7E051E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16AE7557">
            <w:pPr>
              <w:jc w:val="left"/>
            </w:pPr>
            <w:r>
              <w:rPr>
                <w:rFonts w:ascii="Times New Roman" w:hAnsi="Times New Roman" w:eastAsia="Times New Roman" w:cs="Times New Roman"/>
                <w:b w:val="0"/>
                <w:i w:val="0"/>
                <w:sz w:val="22"/>
              </w:rPr>
              <w:t>6% / 4%</w:t>
            </w:r>
          </w:p>
        </w:tc>
        <w:tc>
          <w:tcPr>
            <w:tcW w:w="1392" w:type="dxa"/>
          </w:tcPr>
          <w:p w14:paraId="50BDCBBF">
            <w:pPr>
              <w:jc w:val="right"/>
            </w:pPr>
            <w:r>
              <w:rPr>
                <w:rFonts w:ascii="Times New Roman" w:hAnsi="Times New Roman" w:eastAsia="Times New Roman" w:cs="Times New Roman"/>
                <w:b w:val="0"/>
                <w:i w:val="0"/>
                <w:sz w:val="22"/>
              </w:rPr>
              <w:t>24,93%</w:t>
            </w:r>
          </w:p>
        </w:tc>
        <w:tc>
          <w:tcPr>
            <w:tcW w:w="1392" w:type="dxa"/>
          </w:tcPr>
          <w:p w14:paraId="7B3753C4">
            <w:pPr>
              <w:jc w:val="right"/>
            </w:pPr>
            <w:r>
              <w:rPr>
                <w:rFonts w:ascii="Times New Roman" w:hAnsi="Times New Roman" w:eastAsia="Times New Roman" w:cs="Times New Roman"/>
                <w:b w:val="0"/>
                <w:i w:val="0"/>
                <w:sz w:val="22"/>
              </w:rPr>
              <w:t>37,43%</w:t>
            </w:r>
          </w:p>
        </w:tc>
        <w:tc>
          <w:tcPr>
            <w:tcW w:w="1392" w:type="dxa"/>
          </w:tcPr>
          <w:p w14:paraId="2BE14A29">
            <w:pPr>
              <w:jc w:val="right"/>
            </w:pPr>
            <w:r>
              <w:rPr>
                <w:rFonts w:ascii="Times New Roman" w:hAnsi="Times New Roman" w:eastAsia="Times New Roman" w:cs="Times New Roman"/>
                <w:b w:val="0"/>
                <w:i w:val="0"/>
                <w:sz w:val="22"/>
              </w:rPr>
              <w:t>90,02%</w:t>
            </w:r>
          </w:p>
        </w:tc>
        <w:tc>
          <w:tcPr>
            <w:tcW w:w="1392" w:type="dxa"/>
          </w:tcPr>
          <w:p w14:paraId="5A814084">
            <w:pPr>
              <w:jc w:val="right"/>
            </w:pPr>
            <w:r>
              <w:rPr>
                <w:rFonts w:ascii="Times New Roman" w:hAnsi="Times New Roman" w:eastAsia="Times New Roman" w:cs="Times New Roman"/>
                <w:b w:val="0"/>
                <w:i w:val="0"/>
                <w:sz w:val="22"/>
              </w:rPr>
              <w:t>75.319đ</w:t>
            </w:r>
          </w:p>
        </w:tc>
        <w:tc>
          <w:tcPr>
            <w:tcW w:w="1392" w:type="dxa"/>
          </w:tcPr>
          <w:p w14:paraId="7F49D3DF">
            <w:pPr>
              <w:jc w:val="right"/>
            </w:pPr>
            <w:r>
              <w:rPr>
                <w:rFonts w:ascii="Times New Roman" w:hAnsi="Times New Roman" w:eastAsia="Times New Roman" w:cs="Times New Roman"/>
                <w:b w:val="0"/>
                <w:i w:val="0"/>
                <w:sz w:val="22"/>
              </w:rPr>
              <w:t>4,19%</w:t>
            </w:r>
          </w:p>
        </w:tc>
        <w:tc>
          <w:tcPr>
            <w:tcW w:w="1392" w:type="dxa"/>
          </w:tcPr>
          <w:p w14:paraId="20793EC8">
            <w:pPr>
              <w:jc w:val="right"/>
            </w:pPr>
            <w:r>
              <w:rPr>
                <w:rFonts w:ascii="Times New Roman" w:hAnsi="Times New Roman" w:eastAsia="Times New Roman" w:cs="Times New Roman"/>
                <w:b w:val="0"/>
                <w:i w:val="0"/>
                <w:sz w:val="22"/>
              </w:rPr>
              <w:t>5,78%</w:t>
            </w:r>
          </w:p>
        </w:tc>
      </w:tr>
      <w:tr w14:paraId="2DC175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6379ACD3">
            <w:pPr>
              <w:jc w:val="left"/>
            </w:pPr>
            <w:r>
              <w:rPr>
                <w:rFonts w:ascii="Times New Roman" w:hAnsi="Times New Roman" w:eastAsia="Times New Roman" w:cs="Times New Roman"/>
                <w:b w:val="0"/>
                <w:i w:val="0"/>
                <w:sz w:val="22"/>
              </w:rPr>
              <w:t>7% / 3%</w:t>
            </w:r>
          </w:p>
        </w:tc>
        <w:tc>
          <w:tcPr>
            <w:tcW w:w="1392" w:type="dxa"/>
          </w:tcPr>
          <w:p w14:paraId="6B228A38">
            <w:pPr>
              <w:jc w:val="right"/>
            </w:pPr>
            <w:r>
              <w:rPr>
                <w:rFonts w:ascii="Times New Roman" w:hAnsi="Times New Roman" w:eastAsia="Times New Roman" w:cs="Times New Roman"/>
                <w:b w:val="0"/>
                <w:i w:val="0"/>
                <w:sz w:val="22"/>
              </w:rPr>
              <w:t>23,84%</w:t>
            </w:r>
          </w:p>
        </w:tc>
        <w:tc>
          <w:tcPr>
            <w:tcW w:w="1392" w:type="dxa"/>
          </w:tcPr>
          <w:p w14:paraId="0079937D">
            <w:pPr>
              <w:jc w:val="right"/>
            </w:pPr>
            <w:r>
              <w:rPr>
                <w:rFonts w:ascii="Times New Roman" w:hAnsi="Times New Roman" w:eastAsia="Times New Roman" w:cs="Times New Roman"/>
                <w:b w:val="0"/>
                <w:i w:val="0"/>
                <w:sz w:val="22"/>
              </w:rPr>
              <w:t>40,73%</w:t>
            </w:r>
          </w:p>
        </w:tc>
        <w:tc>
          <w:tcPr>
            <w:tcW w:w="1392" w:type="dxa"/>
          </w:tcPr>
          <w:p w14:paraId="3CBB51B6">
            <w:pPr>
              <w:jc w:val="right"/>
            </w:pPr>
            <w:r>
              <w:rPr>
                <w:rFonts w:ascii="Times New Roman" w:hAnsi="Times New Roman" w:eastAsia="Times New Roman" w:cs="Times New Roman"/>
                <w:b w:val="0"/>
                <w:i w:val="0"/>
                <w:sz w:val="22"/>
              </w:rPr>
              <w:t>90,08%</w:t>
            </w:r>
          </w:p>
        </w:tc>
        <w:tc>
          <w:tcPr>
            <w:tcW w:w="1392" w:type="dxa"/>
          </w:tcPr>
          <w:p w14:paraId="66842431">
            <w:pPr>
              <w:jc w:val="right"/>
            </w:pPr>
            <w:r>
              <w:rPr>
                <w:rFonts w:ascii="Times New Roman" w:hAnsi="Times New Roman" w:eastAsia="Times New Roman" w:cs="Times New Roman"/>
                <w:b w:val="0"/>
                <w:i w:val="0"/>
                <w:sz w:val="22"/>
              </w:rPr>
              <w:t>77.979đ</w:t>
            </w:r>
          </w:p>
        </w:tc>
        <w:tc>
          <w:tcPr>
            <w:tcW w:w="1392" w:type="dxa"/>
          </w:tcPr>
          <w:p w14:paraId="6650453A">
            <w:pPr>
              <w:jc w:val="right"/>
            </w:pPr>
            <w:r>
              <w:rPr>
                <w:rFonts w:ascii="Times New Roman" w:hAnsi="Times New Roman" w:eastAsia="Times New Roman" w:cs="Times New Roman"/>
                <w:b w:val="0"/>
                <w:i w:val="0"/>
                <w:sz w:val="22"/>
              </w:rPr>
              <w:t>3,16%</w:t>
            </w:r>
          </w:p>
        </w:tc>
        <w:tc>
          <w:tcPr>
            <w:tcW w:w="1392" w:type="dxa"/>
          </w:tcPr>
          <w:p w14:paraId="065F67A5">
            <w:pPr>
              <w:jc w:val="right"/>
            </w:pPr>
            <w:r>
              <w:rPr>
                <w:rFonts w:ascii="Times New Roman" w:hAnsi="Times New Roman" w:eastAsia="Times New Roman" w:cs="Times New Roman"/>
                <w:b w:val="0"/>
                <w:i w:val="0"/>
                <w:sz w:val="22"/>
              </w:rPr>
              <w:t>6,76%</w:t>
            </w:r>
          </w:p>
        </w:tc>
      </w:tr>
      <w:tr w14:paraId="46E44B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6DB02655">
            <w:pPr>
              <w:jc w:val="left"/>
            </w:pPr>
            <w:r>
              <w:rPr>
                <w:rFonts w:ascii="Times New Roman" w:hAnsi="Times New Roman" w:eastAsia="Times New Roman" w:cs="Times New Roman"/>
                <w:b w:val="0"/>
                <w:i w:val="0"/>
                <w:sz w:val="22"/>
              </w:rPr>
              <w:t>8% / 2%</w:t>
            </w:r>
          </w:p>
        </w:tc>
        <w:tc>
          <w:tcPr>
            <w:tcW w:w="1392" w:type="dxa"/>
          </w:tcPr>
          <w:p w14:paraId="50E22BD6">
            <w:pPr>
              <w:jc w:val="right"/>
            </w:pPr>
            <w:r>
              <w:rPr>
                <w:rFonts w:ascii="Times New Roman" w:hAnsi="Times New Roman" w:eastAsia="Times New Roman" w:cs="Times New Roman"/>
                <w:b w:val="0"/>
                <w:i w:val="0"/>
                <w:sz w:val="22"/>
              </w:rPr>
              <w:t>22,85%</w:t>
            </w:r>
          </w:p>
        </w:tc>
        <w:tc>
          <w:tcPr>
            <w:tcW w:w="1392" w:type="dxa"/>
          </w:tcPr>
          <w:p w14:paraId="1828400F">
            <w:pPr>
              <w:jc w:val="right"/>
            </w:pPr>
            <w:r>
              <w:rPr>
                <w:rFonts w:ascii="Times New Roman" w:hAnsi="Times New Roman" w:eastAsia="Times New Roman" w:cs="Times New Roman"/>
                <w:b w:val="0"/>
                <w:i w:val="0"/>
                <w:sz w:val="22"/>
              </w:rPr>
              <w:t>45,40%</w:t>
            </w:r>
          </w:p>
        </w:tc>
        <w:tc>
          <w:tcPr>
            <w:tcW w:w="1392" w:type="dxa"/>
          </w:tcPr>
          <w:p w14:paraId="0A832DB5">
            <w:pPr>
              <w:jc w:val="right"/>
            </w:pPr>
            <w:r>
              <w:rPr>
                <w:rFonts w:ascii="Times New Roman" w:hAnsi="Times New Roman" w:eastAsia="Times New Roman" w:cs="Times New Roman"/>
                <w:b w:val="0"/>
                <w:i w:val="0"/>
                <w:sz w:val="22"/>
              </w:rPr>
              <w:t>90,20%</w:t>
            </w:r>
          </w:p>
        </w:tc>
        <w:tc>
          <w:tcPr>
            <w:tcW w:w="1392" w:type="dxa"/>
          </w:tcPr>
          <w:p w14:paraId="0B62C116">
            <w:pPr>
              <w:jc w:val="right"/>
            </w:pPr>
            <w:r>
              <w:rPr>
                <w:rFonts w:ascii="Times New Roman" w:hAnsi="Times New Roman" w:eastAsia="Times New Roman" w:cs="Times New Roman"/>
                <w:b w:val="0"/>
                <w:i w:val="0"/>
                <w:sz w:val="22"/>
              </w:rPr>
              <w:t>82.431đ</w:t>
            </w:r>
          </w:p>
        </w:tc>
        <w:tc>
          <w:tcPr>
            <w:tcW w:w="1392" w:type="dxa"/>
          </w:tcPr>
          <w:p w14:paraId="729760CE">
            <w:pPr>
              <w:jc w:val="right"/>
            </w:pPr>
            <w:r>
              <w:rPr>
                <w:rFonts w:ascii="Times New Roman" w:hAnsi="Times New Roman" w:eastAsia="Times New Roman" w:cs="Times New Roman"/>
                <w:b w:val="0"/>
                <w:i w:val="0"/>
                <w:sz w:val="22"/>
              </w:rPr>
              <w:t>2,09%</w:t>
            </w:r>
          </w:p>
        </w:tc>
        <w:tc>
          <w:tcPr>
            <w:tcW w:w="1392" w:type="dxa"/>
          </w:tcPr>
          <w:p w14:paraId="6520877B">
            <w:pPr>
              <w:jc w:val="right"/>
            </w:pPr>
            <w:r>
              <w:rPr>
                <w:rFonts w:ascii="Times New Roman" w:hAnsi="Times New Roman" w:eastAsia="Times New Roman" w:cs="Times New Roman"/>
                <w:b w:val="0"/>
                <w:i w:val="0"/>
                <w:sz w:val="22"/>
              </w:rPr>
              <w:t>7,71%</w:t>
            </w:r>
          </w:p>
        </w:tc>
      </w:tr>
      <w:tr w14:paraId="1B3E3C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5E77D0DC">
            <w:pPr>
              <w:jc w:val="left"/>
            </w:pPr>
            <w:r>
              <w:rPr>
                <w:rFonts w:ascii="Times New Roman" w:hAnsi="Times New Roman" w:eastAsia="Times New Roman" w:cs="Times New Roman"/>
                <w:b w:val="0"/>
                <w:i w:val="0"/>
                <w:sz w:val="22"/>
              </w:rPr>
              <w:t>9% / 1%</w:t>
            </w:r>
          </w:p>
        </w:tc>
        <w:tc>
          <w:tcPr>
            <w:tcW w:w="1392" w:type="dxa"/>
          </w:tcPr>
          <w:p w14:paraId="4671A510">
            <w:pPr>
              <w:jc w:val="right"/>
            </w:pPr>
            <w:r>
              <w:rPr>
                <w:rFonts w:ascii="Times New Roman" w:hAnsi="Times New Roman" w:eastAsia="Times New Roman" w:cs="Times New Roman"/>
                <w:b w:val="0"/>
                <w:i w:val="0"/>
                <w:sz w:val="22"/>
              </w:rPr>
              <w:t>21,91%</w:t>
            </w:r>
          </w:p>
        </w:tc>
        <w:tc>
          <w:tcPr>
            <w:tcW w:w="1392" w:type="dxa"/>
          </w:tcPr>
          <w:p w14:paraId="0A8AB395">
            <w:pPr>
              <w:jc w:val="right"/>
            </w:pPr>
            <w:r>
              <w:rPr>
                <w:rFonts w:ascii="Times New Roman" w:hAnsi="Times New Roman" w:eastAsia="Times New Roman" w:cs="Times New Roman"/>
                <w:b w:val="0"/>
                <w:i w:val="0"/>
                <w:sz w:val="22"/>
              </w:rPr>
              <w:t>52,88%</w:t>
            </w:r>
          </w:p>
        </w:tc>
        <w:tc>
          <w:tcPr>
            <w:tcW w:w="1392" w:type="dxa"/>
          </w:tcPr>
          <w:p w14:paraId="5CFCD840">
            <w:pPr>
              <w:jc w:val="right"/>
            </w:pPr>
            <w:r>
              <w:rPr>
                <w:rFonts w:ascii="Times New Roman" w:hAnsi="Times New Roman" w:eastAsia="Times New Roman" w:cs="Times New Roman"/>
                <w:b w:val="0"/>
                <w:i w:val="0"/>
                <w:sz w:val="22"/>
              </w:rPr>
              <w:t>90,26%</w:t>
            </w:r>
          </w:p>
        </w:tc>
        <w:tc>
          <w:tcPr>
            <w:tcW w:w="1392" w:type="dxa"/>
          </w:tcPr>
          <w:p w14:paraId="4B7ACCDE">
            <w:pPr>
              <w:jc w:val="right"/>
            </w:pPr>
            <w:r>
              <w:rPr>
                <w:rFonts w:ascii="Times New Roman" w:hAnsi="Times New Roman" w:eastAsia="Times New Roman" w:cs="Times New Roman"/>
                <w:b w:val="0"/>
                <w:i w:val="0"/>
                <w:sz w:val="22"/>
              </w:rPr>
              <w:t>90.331đ</w:t>
            </w:r>
          </w:p>
        </w:tc>
        <w:tc>
          <w:tcPr>
            <w:tcW w:w="1392" w:type="dxa"/>
          </w:tcPr>
          <w:p w14:paraId="7F9ECD2A">
            <w:pPr>
              <w:jc w:val="right"/>
            </w:pPr>
            <w:r>
              <w:rPr>
                <w:rFonts w:ascii="Times New Roman" w:hAnsi="Times New Roman" w:eastAsia="Times New Roman" w:cs="Times New Roman"/>
                <w:b w:val="0"/>
                <w:i w:val="0"/>
                <w:sz w:val="22"/>
              </w:rPr>
              <w:t>1,05%</w:t>
            </w:r>
          </w:p>
        </w:tc>
        <w:tc>
          <w:tcPr>
            <w:tcW w:w="1392" w:type="dxa"/>
          </w:tcPr>
          <w:p w14:paraId="138C0313">
            <w:pPr>
              <w:jc w:val="right"/>
            </w:pPr>
            <w:r>
              <w:rPr>
                <w:rFonts w:ascii="Times New Roman" w:hAnsi="Times New Roman" w:eastAsia="Times New Roman" w:cs="Times New Roman"/>
                <w:b w:val="0"/>
                <w:i w:val="0"/>
                <w:sz w:val="22"/>
              </w:rPr>
              <w:t>8,68%</w:t>
            </w:r>
          </w:p>
        </w:tc>
      </w:tr>
    </w:tbl>
    <w:p w14:paraId="5E42BFC3"/>
    <w:p w14:paraId="29DEAFE5"/>
    <w:p w14:paraId="03583ECE"/>
    <w:p w14:paraId="4D23E6D4"/>
    <w:p w14:paraId="0EA7CFD9">
      <w:pPr>
        <w:jc w:val="center"/>
      </w:pPr>
      <w:r>
        <w:drawing>
          <wp:inline distT="0" distB="0" distL="114300" distR="114300">
            <wp:extent cx="5939790" cy="1815465"/>
            <wp:effectExtent l="0" t="0" r="38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0000" cy="1815924"/>
                    </a:xfrm>
                    <a:prstGeom prst="rect">
                      <a:avLst/>
                    </a:prstGeom>
                  </pic:spPr>
                </pic:pic>
              </a:graphicData>
            </a:graphic>
          </wp:inline>
        </w:drawing>
      </w:r>
    </w:p>
    <w:p w14:paraId="41C05A29">
      <w:pPr>
        <w:spacing w:after="240"/>
        <w:jc w:val="center"/>
      </w:pPr>
      <w:r>
        <w:rPr>
          <w:rFonts w:ascii="Times New Roman" w:hAnsi="Times New Roman" w:eastAsia="Times New Roman" w:cs="Times New Roman"/>
          <w:b w:val="0"/>
          <w:i/>
          <w:color w:val="666666"/>
          <w:sz w:val="18"/>
        </w:rPr>
        <w:t>Ba góc nhìn về cùng một lưới chia, đo trên 216.090 chuyến test. Trái: hai cận dịch chuyển ra sao. Giữa: coverage và độ rộng. Phải: tỷ lệ trượt hai phía.</w:t>
      </w:r>
    </w:p>
    <w:p w14:paraId="3DD9D2D7">
      <w:pPr>
        <w:jc w:val="both"/>
      </w:pPr>
      <w:r>
        <w:rPr>
          <w:rFonts w:ascii="Times New Roman" w:hAnsi="Times New Roman" w:eastAsia="Times New Roman" w:cs="Times New Roman"/>
          <w:b w:val="0"/>
          <w:i w:val="0"/>
        </w:rPr>
        <w:t>Không mốc chia nào vừa hẹp hơn vừa phủ tốt hơn đáng kể. Đây là câu trả lời trực tiếp cho vế "coverage có tốt hơn không mà khoảng không rộng thêm": trên dữ liệu này thì không.</w:t>
      </w:r>
    </w:p>
    <w:p w14:paraId="42913B05">
      <w:pPr>
        <w:jc w:val="center"/>
      </w:pPr>
      <w:r>
        <w:drawing>
          <wp:inline distT="0" distB="0" distL="114300" distR="114300">
            <wp:extent cx="5939790" cy="255206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0000" cy="2552647"/>
                    </a:xfrm>
                    <a:prstGeom prst="rect">
                      <a:avLst/>
                    </a:prstGeom>
                  </pic:spPr>
                </pic:pic>
              </a:graphicData>
            </a:graphic>
          </wp:inline>
        </w:drawing>
      </w:r>
    </w:p>
    <w:p w14:paraId="0F073134">
      <w:pPr>
        <w:spacing w:after="240"/>
        <w:jc w:val="center"/>
      </w:pPr>
      <w:r>
        <w:rPr>
          <w:rFonts w:ascii="Times New Roman" w:hAnsi="Times New Roman" w:eastAsia="Times New Roman" w:cs="Times New Roman"/>
          <w:b w:val="0"/>
          <w:i/>
          <w:color w:val="666666"/>
          <w:sz w:val="18"/>
        </w:rPr>
        <w:t>Coverage từng band qua mọi mốc chia. Cột đầu là phương án hiện tại.</w:t>
      </w:r>
    </w:p>
    <w:p w14:paraId="4259B401">
      <w:pPr>
        <w:jc w:val="both"/>
      </w:pPr>
      <w:r>
        <w:rPr>
          <w:rFonts w:ascii="Times New Roman" w:hAnsi="Times New Roman" w:eastAsia="Times New Roman" w:cs="Times New Roman"/>
          <w:b w:val="0"/>
          <w:i w:val="0"/>
        </w:rPr>
        <w:t xml:space="preserve">Tách theo band thì thấy rõ hơn nữa. Năm band dưới đều quanh 89–93% ở mọi mốc chia, còn band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nằm trong khoảng 81,0–84,4% suốt cả lưới — biên độ 3,4 điểm và không mốc nào đưa nó về gần 90%. Chia lại rủi ro chỉ dịch khoảng cho toàn bộ chuyến như nhau, nên nhóm hụt nặng nhất vẫn hụt.</w:t>
      </w:r>
    </w:p>
    <w:p w14:paraId="5FE68ECD">
      <w:pPr>
        <w:pStyle w:val="3"/>
        <w:rPr>
          <w:rFonts w:ascii="Times New Roman" w:hAnsi="Times New Roman" w:eastAsia="Times New Roman" w:cs="Times New Roman"/>
          <w:b w:val="0"/>
          <w:i w:val="0"/>
          <w:color w:val="222222"/>
          <w:sz w:val="31"/>
        </w:rPr>
      </w:pPr>
      <w:bookmarkStart w:id="3" w:name="m_4_Khi_do_rong_thay_doi_theo_tung_chuye"/>
    </w:p>
    <w:p w14:paraId="4FC540B3">
      <w:pPr>
        <w:pStyle w:val="3"/>
        <w:rPr>
          <w:rFonts w:ascii="Times New Roman" w:hAnsi="Times New Roman" w:eastAsia="Times New Roman" w:cs="Times New Roman"/>
          <w:b w:val="0"/>
          <w:i w:val="0"/>
          <w:color w:val="222222"/>
          <w:sz w:val="31"/>
        </w:rPr>
      </w:pPr>
    </w:p>
    <w:p w14:paraId="527D3F2F"/>
    <w:p w14:paraId="72DBA4B3">
      <w:pPr>
        <w:pStyle w:val="3"/>
        <w:rPr>
          <w:b/>
          <w:bCs w:val="0"/>
        </w:rPr>
      </w:pPr>
      <w:r>
        <w:rPr>
          <w:rFonts w:hint="default" w:ascii="Times New Roman" w:hAnsi="Times New Roman" w:eastAsia="Times New Roman" w:cs="Times New Roman"/>
          <w:b/>
          <w:bCs w:val="0"/>
          <w:i w:val="0"/>
          <w:color w:val="222222"/>
          <w:sz w:val="31"/>
          <w:lang w:val="vi-VN"/>
        </w:rPr>
        <w:t>3</w:t>
      </w:r>
      <w:r>
        <w:rPr>
          <w:rFonts w:ascii="Times New Roman" w:hAnsi="Times New Roman" w:eastAsia="Times New Roman" w:cs="Times New Roman"/>
          <w:b/>
          <w:bCs w:val="0"/>
          <w:i w:val="0"/>
          <w:color w:val="222222"/>
          <w:sz w:val="31"/>
        </w:rPr>
        <w:t>. Khi độ rộng thay đổi theo từng chuyến</w:t>
      </w:r>
      <w:bookmarkEnd w:id="3"/>
    </w:p>
    <w:p w14:paraId="2F84FF9C">
      <w:pPr>
        <w:jc w:val="both"/>
      </w:pPr>
      <w:r>
        <w:rPr>
          <w:rFonts w:ascii="Times New Roman" w:hAnsi="Times New Roman" w:eastAsia="Times New Roman" w:cs="Times New Roman"/>
          <w:b w:val="0"/>
          <w:i w:val="0"/>
        </w:rPr>
        <w:t xml:space="preserve">Nếu một cặp hằng số không đủ, có hai hướng nâng cấp: tính cặp phân vị riêng cho từng band giá (Mondrian), hoặc cho độ bất đối xứng thay đổi theo từng chuyến bằng CQR — dựng khoảng từ hai phân vị điều kiện </w:t>
      </w:r>
      <w:r>
        <w:rPr>
          <w:rFonts w:ascii="Times New Roman" w:hAnsi="Times New Roman" w:eastAsia="Times New Roman" w:cs="Times New Roman"/>
          <w:b w:val="0"/>
          <w:i w:val="0"/>
          <w:color w:val="0072B2"/>
        </w:rPr>
        <w:t>q05</w:t>
      </w:r>
      <w:r>
        <w:rPr>
          <w:rFonts w:ascii="Times New Roman" w:hAnsi="Times New Roman" w:eastAsia="Times New Roman" w:cs="Times New Roman"/>
          <w:b w:val="0"/>
          <w:i w:val="0"/>
        </w:rPr>
        <w:t>/</w:t>
      </w:r>
      <w:r>
        <w:rPr>
          <w:rFonts w:ascii="Times New Roman" w:hAnsi="Times New Roman" w:eastAsia="Times New Roman" w:cs="Times New Roman"/>
          <w:b w:val="0"/>
          <w:i w:val="0"/>
          <w:color w:val="0072B2"/>
        </w:rPr>
        <w:t>q95</w:t>
      </w:r>
      <w:r>
        <w:rPr>
          <w:rFonts w:ascii="Times New Roman" w:hAnsi="Times New Roman" w:eastAsia="Times New Roman" w:cs="Times New Roman"/>
          <w:b w:val="0"/>
          <w:i w:val="0"/>
        </w:rPr>
        <w:t xml:space="preserve"> của quantile regression rồi hiệu chỉnh riêng từng phía.</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7D4302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619A54A0">
            <w:pPr>
              <w:jc w:val="left"/>
            </w:pPr>
            <w:r>
              <w:rPr>
                <w:rFonts w:ascii="Times New Roman" w:hAnsi="Times New Roman" w:eastAsia="Times New Roman" w:cs="Times New Roman"/>
                <w:b/>
                <w:i w:val="0"/>
                <w:sz w:val="22"/>
              </w:rPr>
              <w:t>Phương án</w:t>
            </w:r>
          </w:p>
        </w:tc>
        <w:tc>
          <w:tcPr>
            <w:tcW w:w="1392" w:type="dxa"/>
          </w:tcPr>
          <w:p w14:paraId="4CF44A54">
            <w:pPr>
              <w:jc w:val="right"/>
            </w:pPr>
            <w:r>
              <w:rPr>
                <w:rFonts w:ascii="Times New Roman" w:hAnsi="Times New Roman" w:eastAsia="Times New Roman" w:cs="Times New Roman"/>
                <w:b/>
                <w:i w:val="0"/>
                <w:sz w:val="22"/>
              </w:rPr>
              <w:t>Coverage</w:t>
            </w:r>
          </w:p>
        </w:tc>
        <w:tc>
          <w:tcPr>
            <w:tcW w:w="1392" w:type="dxa"/>
          </w:tcPr>
          <w:p w14:paraId="43DA7DD8">
            <w:pPr>
              <w:jc w:val="right"/>
            </w:pPr>
            <w:r>
              <w:rPr>
                <w:rFonts w:ascii="Times New Roman" w:hAnsi="Times New Roman" w:eastAsia="Times New Roman" w:cs="Times New Roman"/>
                <w:b/>
                <w:i w:val="0"/>
                <w:sz w:val="22"/>
              </w:rPr>
              <w:t>Độ rộng TB</w:t>
            </w:r>
          </w:p>
        </w:tc>
        <w:tc>
          <w:tcPr>
            <w:tcW w:w="1392" w:type="dxa"/>
          </w:tcPr>
          <w:p w14:paraId="688C99A9">
            <w:pPr>
              <w:jc w:val="right"/>
            </w:pPr>
            <w:r>
              <w:rPr>
                <w:rFonts w:ascii="Times New Roman" w:hAnsi="Times New Roman" w:eastAsia="Times New Roman" w:cs="Times New Roman"/>
                <w:b/>
                <w:i w:val="0"/>
                <w:sz w:val="22"/>
              </w:rPr>
              <w:t>Vượt trên</w:t>
            </w:r>
          </w:p>
        </w:tc>
        <w:tc>
          <w:tcPr>
            <w:tcW w:w="1392" w:type="dxa"/>
          </w:tcPr>
          <w:p w14:paraId="7CAF5B25">
            <w:pPr>
              <w:jc w:val="right"/>
            </w:pPr>
            <w:r>
              <w:rPr>
                <w:rFonts w:ascii="Times New Roman" w:hAnsi="Times New Roman" w:eastAsia="Times New Roman" w:cs="Times New Roman"/>
                <w:b/>
                <w:i w:val="0"/>
                <w:sz w:val="22"/>
              </w:rPr>
              <w:t>Dưới cận dưới</w:t>
            </w:r>
          </w:p>
        </w:tc>
        <w:tc>
          <w:tcPr>
            <w:tcW w:w="1392" w:type="dxa"/>
          </w:tcPr>
          <w:p w14:paraId="722E7FD9">
            <w:pPr>
              <w:jc w:val="right"/>
            </w:pPr>
            <w:r>
              <w:rPr>
                <w:rFonts w:ascii="Times New Roman" w:hAnsi="Times New Roman" w:eastAsia="Times New Roman" w:cs="Times New Roman"/>
                <w:b/>
                <w:i w:val="0"/>
                <w:sz w:val="22"/>
              </w:rPr>
              <w:t>Lệch coverage giữa band</w:t>
            </w:r>
          </w:p>
        </w:tc>
        <w:tc>
          <w:tcPr>
            <w:tcW w:w="1392" w:type="dxa"/>
          </w:tcPr>
          <w:p w14:paraId="292A2C04">
            <w:pPr>
              <w:jc w:val="right"/>
            </w:pPr>
            <w:r>
              <w:rPr>
                <w:rFonts w:ascii="Times New Roman" w:hAnsi="Times New Roman" w:eastAsia="Times New Roman" w:cs="Times New Roman"/>
                <w:b/>
                <w:i w:val="0"/>
                <w:sz w:val="22"/>
              </w:rPr>
              <w:t xml:space="preserve">Coverage band </w:t>
            </w:r>
            <w:r>
              <w:rPr>
                <w:rFonts w:ascii="Times New Roman" w:hAnsi="Times New Roman" w:eastAsia="Times New Roman" w:cs="Times New Roman"/>
                <w:b/>
                <w:i w:val="0"/>
                <w:color w:val="0072B2"/>
                <w:sz w:val="22"/>
              </w:rPr>
              <w:t>&gt;300k</w:t>
            </w:r>
          </w:p>
        </w:tc>
      </w:tr>
      <w:tr w14:paraId="7E1AEA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54B688FB">
            <w:pPr>
              <w:jc w:val="left"/>
            </w:pPr>
            <w:r>
              <w:rPr>
                <w:rFonts w:ascii="Times New Roman" w:hAnsi="Times New Roman" w:eastAsia="Times New Roman" w:cs="Times New Roman"/>
                <w:b w:val="0"/>
                <w:i w:val="0"/>
                <w:sz w:val="22"/>
              </w:rPr>
              <w:t>Đối xứng hiện tại</w:t>
            </w:r>
          </w:p>
        </w:tc>
        <w:tc>
          <w:tcPr>
            <w:tcW w:w="1392" w:type="dxa"/>
          </w:tcPr>
          <w:p w14:paraId="637872FF">
            <w:pPr>
              <w:jc w:val="right"/>
            </w:pPr>
            <w:r>
              <w:rPr>
                <w:rFonts w:ascii="Times New Roman" w:hAnsi="Times New Roman" w:eastAsia="Times New Roman" w:cs="Times New Roman"/>
                <w:b w:val="0"/>
                <w:i w:val="0"/>
                <w:sz w:val="22"/>
              </w:rPr>
              <w:t>89,81%</w:t>
            </w:r>
          </w:p>
        </w:tc>
        <w:tc>
          <w:tcPr>
            <w:tcW w:w="1392" w:type="dxa"/>
          </w:tcPr>
          <w:p w14:paraId="5D55CA18">
            <w:pPr>
              <w:jc w:val="right"/>
            </w:pPr>
            <w:r>
              <w:rPr>
                <w:rFonts w:ascii="Times New Roman" w:hAnsi="Times New Roman" w:eastAsia="Times New Roman" w:cs="Times New Roman"/>
                <w:b w:val="0"/>
                <w:i w:val="0"/>
                <w:sz w:val="22"/>
              </w:rPr>
              <w:t>72.637đ</w:t>
            </w:r>
          </w:p>
        </w:tc>
        <w:tc>
          <w:tcPr>
            <w:tcW w:w="1392" w:type="dxa"/>
          </w:tcPr>
          <w:p w14:paraId="424F4107">
            <w:pPr>
              <w:jc w:val="right"/>
            </w:pPr>
            <w:r>
              <w:rPr>
                <w:rFonts w:ascii="Times New Roman" w:hAnsi="Times New Roman" w:eastAsia="Times New Roman" w:cs="Times New Roman"/>
                <w:b w:val="0"/>
                <w:i w:val="0"/>
                <w:sz w:val="22"/>
              </w:rPr>
              <w:t>7,64%</w:t>
            </w:r>
          </w:p>
        </w:tc>
        <w:tc>
          <w:tcPr>
            <w:tcW w:w="1392" w:type="dxa"/>
          </w:tcPr>
          <w:p w14:paraId="69F59175">
            <w:pPr>
              <w:jc w:val="right"/>
            </w:pPr>
            <w:r>
              <w:rPr>
                <w:rFonts w:ascii="Times New Roman" w:hAnsi="Times New Roman" w:eastAsia="Times New Roman" w:cs="Times New Roman"/>
                <w:b w:val="0"/>
                <w:i w:val="0"/>
                <w:sz w:val="22"/>
              </w:rPr>
              <w:t>2,55%</w:t>
            </w:r>
          </w:p>
        </w:tc>
        <w:tc>
          <w:tcPr>
            <w:tcW w:w="1392" w:type="dxa"/>
          </w:tcPr>
          <w:p w14:paraId="28957DA5">
            <w:pPr>
              <w:jc w:val="right"/>
            </w:pPr>
            <w:r>
              <w:rPr>
                <w:rFonts w:ascii="Times New Roman" w:hAnsi="Times New Roman" w:eastAsia="Times New Roman" w:cs="Times New Roman"/>
                <w:b w:val="0"/>
                <w:i w:val="0"/>
                <w:sz w:val="22"/>
              </w:rPr>
              <w:t>8,62 điểm</w:t>
            </w:r>
          </w:p>
        </w:tc>
        <w:tc>
          <w:tcPr>
            <w:tcW w:w="1392" w:type="dxa"/>
          </w:tcPr>
          <w:p w14:paraId="614D88C3">
            <w:pPr>
              <w:jc w:val="right"/>
            </w:pPr>
            <w:r>
              <w:rPr>
                <w:rFonts w:ascii="Times New Roman" w:hAnsi="Times New Roman" w:eastAsia="Times New Roman" w:cs="Times New Roman"/>
                <w:b w:val="0"/>
                <w:i w:val="0"/>
                <w:sz w:val="22"/>
              </w:rPr>
              <w:t>83,79%</w:t>
            </w:r>
          </w:p>
        </w:tc>
      </w:tr>
      <w:tr w14:paraId="3ACA39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A9882A3">
            <w:pPr>
              <w:jc w:val="left"/>
            </w:pPr>
            <w:r>
              <w:rPr>
                <w:rFonts w:ascii="Times New Roman" w:hAnsi="Times New Roman" w:eastAsia="Times New Roman" w:cs="Times New Roman"/>
                <w:b w:val="0"/>
                <w:i w:val="0"/>
                <w:sz w:val="22"/>
              </w:rPr>
              <w:t>Bất đối xứng 3%/7%</w:t>
            </w:r>
          </w:p>
        </w:tc>
        <w:tc>
          <w:tcPr>
            <w:tcW w:w="1392" w:type="dxa"/>
          </w:tcPr>
          <w:p w14:paraId="02C93037">
            <w:pPr>
              <w:jc w:val="right"/>
            </w:pPr>
            <w:r>
              <w:rPr>
                <w:rFonts w:ascii="Times New Roman" w:hAnsi="Times New Roman" w:eastAsia="Times New Roman" w:cs="Times New Roman"/>
                <w:b w:val="0"/>
                <w:i w:val="0"/>
                <w:sz w:val="22"/>
              </w:rPr>
              <w:t>89,81%</w:t>
            </w:r>
          </w:p>
        </w:tc>
        <w:tc>
          <w:tcPr>
            <w:tcW w:w="1392" w:type="dxa"/>
          </w:tcPr>
          <w:p w14:paraId="5B1B0886">
            <w:pPr>
              <w:jc w:val="right"/>
            </w:pPr>
            <w:r>
              <w:rPr>
                <w:rFonts w:ascii="Times New Roman" w:hAnsi="Times New Roman" w:eastAsia="Times New Roman" w:cs="Times New Roman"/>
                <w:b w:val="0"/>
                <w:i w:val="0"/>
                <w:sz w:val="22"/>
              </w:rPr>
              <w:t>72.541đ</w:t>
            </w:r>
          </w:p>
        </w:tc>
        <w:tc>
          <w:tcPr>
            <w:tcW w:w="1392" w:type="dxa"/>
          </w:tcPr>
          <w:p w14:paraId="43D50926">
            <w:pPr>
              <w:jc w:val="right"/>
            </w:pPr>
            <w:r>
              <w:rPr>
                <w:rFonts w:ascii="Times New Roman" w:hAnsi="Times New Roman" w:eastAsia="Times New Roman" w:cs="Times New Roman"/>
                <w:b w:val="0"/>
                <w:i w:val="0"/>
                <w:sz w:val="22"/>
              </w:rPr>
              <w:t>7,30%</w:t>
            </w:r>
          </w:p>
        </w:tc>
        <w:tc>
          <w:tcPr>
            <w:tcW w:w="1392" w:type="dxa"/>
          </w:tcPr>
          <w:p w14:paraId="2F8F6ACA">
            <w:pPr>
              <w:jc w:val="right"/>
            </w:pPr>
            <w:r>
              <w:rPr>
                <w:rFonts w:ascii="Times New Roman" w:hAnsi="Times New Roman" w:eastAsia="Times New Roman" w:cs="Times New Roman"/>
                <w:b w:val="0"/>
                <w:i w:val="0"/>
                <w:sz w:val="22"/>
              </w:rPr>
              <w:t>2,90%</w:t>
            </w:r>
          </w:p>
        </w:tc>
        <w:tc>
          <w:tcPr>
            <w:tcW w:w="1392" w:type="dxa"/>
          </w:tcPr>
          <w:p w14:paraId="4C116B46">
            <w:pPr>
              <w:jc w:val="right"/>
            </w:pPr>
            <w:r>
              <w:rPr>
                <w:rFonts w:ascii="Times New Roman" w:hAnsi="Times New Roman" w:eastAsia="Times New Roman" w:cs="Times New Roman"/>
                <w:b w:val="0"/>
                <w:i w:val="0"/>
                <w:sz w:val="22"/>
              </w:rPr>
              <w:t>9,11 điểm</w:t>
            </w:r>
          </w:p>
        </w:tc>
        <w:tc>
          <w:tcPr>
            <w:tcW w:w="1392" w:type="dxa"/>
          </w:tcPr>
          <w:p w14:paraId="06F516C3">
            <w:pPr>
              <w:jc w:val="right"/>
            </w:pPr>
            <w:r>
              <w:rPr>
                <w:rFonts w:ascii="Times New Roman" w:hAnsi="Times New Roman" w:eastAsia="Times New Roman" w:cs="Times New Roman"/>
                <w:b w:val="0"/>
                <w:i w:val="0"/>
                <w:sz w:val="22"/>
              </w:rPr>
              <w:t>83,49%</w:t>
            </w:r>
          </w:p>
        </w:tc>
      </w:tr>
      <w:tr w14:paraId="1A3F23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72B03451">
            <w:pPr>
              <w:jc w:val="left"/>
            </w:pPr>
            <w:r>
              <w:rPr>
                <w:rFonts w:ascii="Times New Roman" w:hAnsi="Times New Roman" w:eastAsia="Times New Roman" w:cs="Times New Roman"/>
                <w:b w:val="0"/>
                <w:i w:val="0"/>
                <w:sz w:val="22"/>
              </w:rPr>
              <w:t>Mondrian band + 5%/5%</w:t>
            </w:r>
          </w:p>
        </w:tc>
        <w:tc>
          <w:tcPr>
            <w:tcW w:w="1392" w:type="dxa"/>
          </w:tcPr>
          <w:p w14:paraId="05AEDAA6">
            <w:pPr>
              <w:jc w:val="right"/>
            </w:pPr>
            <w:r>
              <w:rPr>
                <w:rFonts w:ascii="Times New Roman" w:hAnsi="Times New Roman" w:eastAsia="Times New Roman" w:cs="Times New Roman"/>
                <w:b w:val="0"/>
                <w:i w:val="0"/>
                <w:sz w:val="22"/>
              </w:rPr>
              <w:t>89,91%</w:t>
            </w:r>
          </w:p>
        </w:tc>
        <w:tc>
          <w:tcPr>
            <w:tcW w:w="1392" w:type="dxa"/>
          </w:tcPr>
          <w:p w14:paraId="6B4EAF02">
            <w:pPr>
              <w:jc w:val="right"/>
            </w:pPr>
            <w:r>
              <w:rPr>
                <w:rFonts w:ascii="Times New Roman" w:hAnsi="Times New Roman" w:eastAsia="Times New Roman" w:cs="Times New Roman"/>
                <w:b w:val="0"/>
                <w:i w:val="0"/>
                <w:sz w:val="22"/>
              </w:rPr>
              <w:t>73.823đ</w:t>
            </w:r>
          </w:p>
        </w:tc>
        <w:tc>
          <w:tcPr>
            <w:tcW w:w="1392" w:type="dxa"/>
          </w:tcPr>
          <w:p w14:paraId="5437E070">
            <w:pPr>
              <w:jc w:val="right"/>
            </w:pPr>
            <w:r>
              <w:rPr>
                <w:rFonts w:ascii="Times New Roman" w:hAnsi="Times New Roman" w:eastAsia="Times New Roman" w:cs="Times New Roman"/>
                <w:b w:val="0"/>
                <w:i w:val="0"/>
                <w:sz w:val="22"/>
              </w:rPr>
              <w:t>5,26%</w:t>
            </w:r>
          </w:p>
        </w:tc>
        <w:tc>
          <w:tcPr>
            <w:tcW w:w="1392" w:type="dxa"/>
          </w:tcPr>
          <w:p w14:paraId="1B5211C7">
            <w:pPr>
              <w:jc w:val="right"/>
            </w:pPr>
            <w:r>
              <w:rPr>
                <w:rFonts w:ascii="Times New Roman" w:hAnsi="Times New Roman" w:eastAsia="Times New Roman" w:cs="Times New Roman"/>
                <w:b w:val="0"/>
                <w:i w:val="0"/>
                <w:sz w:val="22"/>
              </w:rPr>
              <w:t>4,83%</w:t>
            </w:r>
          </w:p>
        </w:tc>
        <w:tc>
          <w:tcPr>
            <w:tcW w:w="1392" w:type="dxa"/>
          </w:tcPr>
          <w:p w14:paraId="1AD9FCCB">
            <w:pPr>
              <w:jc w:val="right"/>
            </w:pPr>
            <w:r>
              <w:rPr>
                <w:rFonts w:ascii="Times New Roman" w:hAnsi="Times New Roman" w:eastAsia="Times New Roman" w:cs="Times New Roman"/>
                <w:b w:val="0"/>
                <w:i w:val="0"/>
                <w:sz w:val="22"/>
              </w:rPr>
              <w:t>7,44 điểm</w:t>
            </w:r>
          </w:p>
        </w:tc>
        <w:tc>
          <w:tcPr>
            <w:tcW w:w="1392" w:type="dxa"/>
          </w:tcPr>
          <w:p w14:paraId="2CC78795">
            <w:pPr>
              <w:jc w:val="right"/>
            </w:pPr>
            <w:r>
              <w:rPr>
                <w:rFonts w:ascii="Times New Roman" w:hAnsi="Times New Roman" w:eastAsia="Times New Roman" w:cs="Times New Roman"/>
                <w:b w:val="0"/>
                <w:i w:val="0"/>
                <w:sz w:val="22"/>
              </w:rPr>
              <w:t>82,87%</w:t>
            </w:r>
          </w:p>
        </w:tc>
      </w:tr>
      <w:tr w14:paraId="2435AB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2F93A97">
            <w:pPr>
              <w:jc w:val="left"/>
            </w:pPr>
            <w:r>
              <w:rPr>
                <w:rFonts w:ascii="Times New Roman" w:hAnsi="Times New Roman" w:eastAsia="Times New Roman" w:cs="Times New Roman"/>
                <w:b w:val="0"/>
                <w:i w:val="0"/>
                <w:sz w:val="22"/>
              </w:rPr>
              <w:t>Mondrian band + 3%/7%</w:t>
            </w:r>
          </w:p>
        </w:tc>
        <w:tc>
          <w:tcPr>
            <w:tcW w:w="1392" w:type="dxa"/>
          </w:tcPr>
          <w:p w14:paraId="1F4A2F7D">
            <w:pPr>
              <w:jc w:val="right"/>
            </w:pPr>
            <w:r>
              <w:rPr>
                <w:rFonts w:ascii="Times New Roman" w:hAnsi="Times New Roman" w:eastAsia="Times New Roman" w:cs="Times New Roman"/>
                <w:b w:val="0"/>
                <w:i w:val="0"/>
                <w:sz w:val="22"/>
              </w:rPr>
              <w:t>89,84%</w:t>
            </w:r>
          </w:p>
        </w:tc>
        <w:tc>
          <w:tcPr>
            <w:tcW w:w="1392" w:type="dxa"/>
          </w:tcPr>
          <w:p w14:paraId="46446D38">
            <w:pPr>
              <w:jc w:val="right"/>
            </w:pPr>
            <w:r>
              <w:rPr>
                <w:rFonts w:ascii="Times New Roman" w:hAnsi="Times New Roman" w:eastAsia="Times New Roman" w:cs="Times New Roman"/>
                <w:b w:val="0"/>
                <w:i w:val="0"/>
                <w:sz w:val="22"/>
              </w:rPr>
              <w:t>72.787đ</w:t>
            </w:r>
          </w:p>
        </w:tc>
        <w:tc>
          <w:tcPr>
            <w:tcW w:w="1392" w:type="dxa"/>
          </w:tcPr>
          <w:p w14:paraId="674D5E0A">
            <w:pPr>
              <w:jc w:val="right"/>
            </w:pPr>
            <w:r>
              <w:rPr>
                <w:rFonts w:ascii="Times New Roman" w:hAnsi="Times New Roman" w:eastAsia="Times New Roman" w:cs="Times New Roman"/>
                <w:b w:val="0"/>
                <w:i w:val="0"/>
                <w:sz w:val="22"/>
              </w:rPr>
              <w:t>7,28%</w:t>
            </w:r>
          </w:p>
        </w:tc>
        <w:tc>
          <w:tcPr>
            <w:tcW w:w="1392" w:type="dxa"/>
          </w:tcPr>
          <w:p w14:paraId="7FB3EF37">
            <w:pPr>
              <w:jc w:val="right"/>
            </w:pPr>
            <w:r>
              <w:rPr>
                <w:rFonts w:ascii="Times New Roman" w:hAnsi="Times New Roman" w:eastAsia="Times New Roman" w:cs="Times New Roman"/>
                <w:b w:val="0"/>
                <w:i w:val="0"/>
                <w:sz w:val="22"/>
              </w:rPr>
              <w:t>2,88%</w:t>
            </w:r>
          </w:p>
        </w:tc>
        <w:tc>
          <w:tcPr>
            <w:tcW w:w="1392" w:type="dxa"/>
          </w:tcPr>
          <w:p w14:paraId="63D0D78C">
            <w:pPr>
              <w:jc w:val="right"/>
            </w:pPr>
            <w:r>
              <w:rPr>
                <w:rFonts w:ascii="Times New Roman" w:hAnsi="Times New Roman" w:eastAsia="Times New Roman" w:cs="Times New Roman"/>
                <w:b w:val="0"/>
                <w:i w:val="0"/>
                <w:sz w:val="22"/>
              </w:rPr>
              <w:t>6,58 điểm</w:t>
            </w:r>
          </w:p>
        </w:tc>
        <w:tc>
          <w:tcPr>
            <w:tcW w:w="1392" w:type="dxa"/>
          </w:tcPr>
          <w:p w14:paraId="01000C63">
            <w:pPr>
              <w:jc w:val="right"/>
            </w:pPr>
            <w:r>
              <w:rPr>
                <w:rFonts w:ascii="Times New Roman" w:hAnsi="Times New Roman" w:eastAsia="Times New Roman" w:cs="Times New Roman"/>
                <w:b w:val="0"/>
                <w:i w:val="0"/>
                <w:sz w:val="22"/>
              </w:rPr>
              <w:t>83,49%</w:t>
            </w:r>
          </w:p>
        </w:tc>
      </w:tr>
      <w:tr w14:paraId="062A1B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652F6AE">
            <w:pPr>
              <w:jc w:val="left"/>
            </w:pPr>
            <w:r>
              <w:rPr>
                <w:rFonts w:ascii="Times New Roman" w:hAnsi="Times New Roman" w:eastAsia="Times New Roman" w:cs="Times New Roman"/>
                <w:b w:val="0"/>
                <w:i w:val="0"/>
                <w:sz w:val="22"/>
              </w:rPr>
              <w:t>CQR đối xứng</w:t>
            </w:r>
          </w:p>
        </w:tc>
        <w:tc>
          <w:tcPr>
            <w:tcW w:w="1392" w:type="dxa"/>
          </w:tcPr>
          <w:p w14:paraId="5BD994AA">
            <w:pPr>
              <w:jc w:val="right"/>
            </w:pPr>
            <w:r>
              <w:rPr>
                <w:rFonts w:ascii="Times New Roman" w:hAnsi="Times New Roman" w:eastAsia="Times New Roman" w:cs="Times New Roman"/>
                <w:b w:val="0"/>
                <w:i w:val="0"/>
                <w:sz w:val="22"/>
              </w:rPr>
              <w:t>89,67%</w:t>
            </w:r>
          </w:p>
        </w:tc>
        <w:tc>
          <w:tcPr>
            <w:tcW w:w="1392" w:type="dxa"/>
          </w:tcPr>
          <w:p w14:paraId="6C96A871">
            <w:pPr>
              <w:jc w:val="right"/>
            </w:pPr>
            <w:r>
              <w:rPr>
                <w:rFonts w:ascii="Times New Roman" w:hAnsi="Times New Roman" w:eastAsia="Times New Roman" w:cs="Times New Roman"/>
                <w:b w:val="0"/>
                <w:i w:val="0"/>
                <w:sz w:val="22"/>
              </w:rPr>
              <w:t>75.999đ</w:t>
            </w:r>
          </w:p>
        </w:tc>
        <w:tc>
          <w:tcPr>
            <w:tcW w:w="1392" w:type="dxa"/>
          </w:tcPr>
          <w:p w14:paraId="069D1EC2">
            <w:pPr>
              <w:jc w:val="right"/>
            </w:pPr>
            <w:r>
              <w:rPr>
                <w:rFonts w:ascii="Times New Roman" w:hAnsi="Times New Roman" w:eastAsia="Times New Roman" w:cs="Times New Roman"/>
                <w:b w:val="0"/>
                <w:i w:val="0"/>
                <w:sz w:val="22"/>
              </w:rPr>
              <w:t>5,56%</w:t>
            </w:r>
          </w:p>
        </w:tc>
        <w:tc>
          <w:tcPr>
            <w:tcW w:w="1392" w:type="dxa"/>
          </w:tcPr>
          <w:p w14:paraId="650406DC">
            <w:pPr>
              <w:jc w:val="right"/>
            </w:pPr>
            <w:r>
              <w:rPr>
                <w:rFonts w:ascii="Times New Roman" w:hAnsi="Times New Roman" w:eastAsia="Times New Roman" w:cs="Times New Roman"/>
                <w:b w:val="0"/>
                <w:i w:val="0"/>
                <w:sz w:val="22"/>
              </w:rPr>
              <w:t>4,78%</w:t>
            </w:r>
          </w:p>
        </w:tc>
        <w:tc>
          <w:tcPr>
            <w:tcW w:w="1392" w:type="dxa"/>
          </w:tcPr>
          <w:p w14:paraId="0E7A8C51">
            <w:pPr>
              <w:jc w:val="right"/>
            </w:pPr>
            <w:r>
              <w:rPr>
                <w:rFonts w:ascii="Times New Roman" w:hAnsi="Times New Roman" w:eastAsia="Times New Roman" w:cs="Times New Roman"/>
                <w:b w:val="0"/>
                <w:i w:val="0"/>
                <w:sz w:val="22"/>
              </w:rPr>
              <w:t>2,29 điểm</w:t>
            </w:r>
          </w:p>
        </w:tc>
        <w:tc>
          <w:tcPr>
            <w:tcW w:w="1392" w:type="dxa"/>
          </w:tcPr>
          <w:p w14:paraId="774D4DAC">
            <w:pPr>
              <w:jc w:val="right"/>
            </w:pPr>
            <w:r>
              <w:rPr>
                <w:rFonts w:ascii="Times New Roman" w:hAnsi="Times New Roman" w:eastAsia="Times New Roman" w:cs="Times New Roman"/>
                <w:b w:val="0"/>
                <w:i w:val="0"/>
                <w:sz w:val="22"/>
              </w:rPr>
              <w:t>88,03%</w:t>
            </w:r>
          </w:p>
        </w:tc>
      </w:tr>
      <w:tr w14:paraId="01C49E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0C56EE36">
            <w:pPr>
              <w:jc w:val="left"/>
            </w:pPr>
            <w:r>
              <w:rPr>
                <w:rFonts w:ascii="Times New Roman" w:hAnsi="Times New Roman" w:eastAsia="Times New Roman" w:cs="Times New Roman"/>
                <w:b w:val="0"/>
                <w:i w:val="0"/>
                <w:sz w:val="22"/>
              </w:rPr>
              <w:t>CQR bất đối xứng 5%/5%</w:t>
            </w:r>
          </w:p>
        </w:tc>
        <w:tc>
          <w:tcPr>
            <w:tcW w:w="1392" w:type="dxa"/>
          </w:tcPr>
          <w:p w14:paraId="1B4AB8AC">
            <w:pPr>
              <w:jc w:val="right"/>
            </w:pPr>
            <w:r>
              <w:rPr>
                <w:rFonts w:ascii="Times New Roman" w:hAnsi="Times New Roman" w:eastAsia="Times New Roman" w:cs="Times New Roman"/>
                <w:b w:val="0"/>
                <w:i w:val="0"/>
                <w:sz w:val="22"/>
              </w:rPr>
              <w:t>89,60%</w:t>
            </w:r>
          </w:p>
        </w:tc>
        <w:tc>
          <w:tcPr>
            <w:tcW w:w="1392" w:type="dxa"/>
          </w:tcPr>
          <w:p w14:paraId="722CAA35">
            <w:pPr>
              <w:jc w:val="right"/>
            </w:pPr>
            <w:r>
              <w:rPr>
                <w:rFonts w:ascii="Times New Roman" w:hAnsi="Times New Roman" w:eastAsia="Times New Roman" w:cs="Times New Roman"/>
                <w:b w:val="0"/>
                <w:i w:val="0"/>
                <w:sz w:val="22"/>
              </w:rPr>
              <w:t>75.562đ</w:t>
            </w:r>
          </w:p>
        </w:tc>
        <w:tc>
          <w:tcPr>
            <w:tcW w:w="1392" w:type="dxa"/>
          </w:tcPr>
          <w:p w14:paraId="4B396C4A">
            <w:pPr>
              <w:jc w:val="right"/>
            </w:pPr>
            <w:r>
              <w:rPr>
                <w:rFonts w:ascii="Times New Roman" w:hAnsi="Times New Roman" w:eastAsia="Times New Roman" w:cs="Times New Roman"/>
                <w:b w:val="0"/>
                <w:i w:val="0"/>
                <w:sz w:val="22"/>
              </w:rPr>
              <w:t>5,99%</w:t>
            </w:r>
          </w:p>
        </w:tc>
        <w:tc>
          <w:tcPr>
            <w:tcW w:w="1392" w:type="dxa"/>
          </w:tcPr>
          <w:p w14:paraId="35DCE613">
            <w:pPr>
              <w:jc w:val="right"/>
            </w:pPr>
            <w:r>
              <w:rPr>
                <w:rFonts w:ascii="Times New Roman" w:hAnsi="Times New Roman" w:eastAsia="Times New Roman" w:cs="Times New Roman"/>
                <w:b w:val="0"/>
                <w:i w:val="0"/>
                <w:sz w:val="22"/>
              </w:rPr>
              <w:t>4,41%</w:t>
            </w:r>
          </w:p>
        </w:tc>
        <w:tc>
          <w:tcPr>
            <w:tcW w:w="1392" w:type="dxa"/>
          </w:tcPr>
          <w:p w14:paraId="01DEF52F">
            <w:pPr>
              <w:jc w:val="right"/>
            </w:pPr>
            <w:r>
              <w:rPr>
                <w:rFonts w:ascii="Times New Roman" w:hAnsi="Times New Roman" w:eastAsia="Times New Roman" w:cs="Times New Roman"/>
                <w:b w:val="0"/>
                <w:i w:val="0"/>
                <w:sz w:val="22"/>
              </w:rPr>
              <w:t>2,29 điểm</w:t>
            </w:r>
          </w:p>
        </w:tc>
        <w:tc>
          <w:tcPr>
            <w:tcW w:w="1392" w:type="dxa"/>
          </w:tcPr>
          <w:p w14:paraId="2E5EFC6E">
            <w:pPr>
              <w:jc w:val="right"/>
            </w:pPr>
            <w:r>
              <w:rPr>
                <w:rFonts w:ascii="Times New Roman" w:hAnsi="Times New Roman" w:eastAsia="Times New Roman" w:cs="Times New Roman"/>
                <w:b w:val="0"/>
                <w:i w:val="0"/>
                <w:sz w:val="22"/>
              </w:rPr>
              <w:t>88,03%</w:t>
            </w:r>
          </w:p>
        </w:tc>
      </w:tr>
      <w:tr w14:paraId="7C7B36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46C748E3">
            <w:pPr>
              <w:jc w:val="left"/>
            </w:pPr>
            <w:r>
              <w:rPr>
                <w:rFonts w:ascii="Times New Roman" w:hAnsi="Times New Roman" w:eastAsia="Times New Roman" w:cs="Times New Roman"/>
                <w:b w:val="0"/>
                <w:i w:val="0"/>
                <w:sz w:val="22"/>
              </w:rPr>
              <w:t>CQR bất đối xứng 3%/7%</w:t>
            </w:r>
          </w:p>
        </w:tc>
        <w:tc>
          <w:tcPr>
            <w:tcW w:w="1392" w:type="dxa"/>
          </w:tcPr>
          <w:p w14:paraId="53288355">
            <w:pPr>
              <w:jc w:val="right"/>
            </w:pPr>
            <w:r>
              <w:rPr>
                <w:rFonts w:ascii="Times New Roman" w:hAnsi="Times New Roman" w:eastAsia="Times New Roman" w:cs="Times New Roman"/>
                <w:b w:val="0"/>
                <w:i w:val="0"/>
                <w:sz w:val="22"/>
              </w:rPr>
              <w:t>89,04%</w:t>
            </w:r>
          </w:p>
        </w:tc>
        <w:tc>
          <w:tcPr>
            <w:tcW w:w="1392" w:type="dxa"/>
          </w:tcPr>
          <w:p w14:paraId="51C25FA0">
            <w:pPr>
              <w:jc w:val="right"/>
            </w:pPr>
            <w:r>
              <w:rPr>
                <w:rFonts w:ascii="Times New Roman" w:hAnsi="Times New Roman" w:eastAsia="Times New Roman" w:cs="Times New Roman"/>
                <w:b w:val="0"/>
                <w:i w:val="0"/>
                <w:sz w:val="22"/>
              </w:rPr>
              <w:t>74.954đ</w:t>
            </w:r>
          </w:p>
        </w:tc>
        <w:tc>
          <w:tcPr>
            <w:tcW w:w="1392" w:type="dxa"/>
          </w:tcPr>
          <w:p w14:paraId="0042FAC9">
            <w:pPr>
              <w:jc w:val="right"/>
            </w:pPr>
            <w:r>
              <w:rPr>
                <w:rFonts w:ascii="Times New Roman" w:hAnsi="Times New Roman" w:eastAsia="Times New Roman" w:cs="Times New Roman"/>
                <w:b w:val="0"/>
                <w:i w:val="0"/>
                <w:sz w:val="22"/>
              </w:rPr>
              <w:t>8,27%</w:t>
            </w:r>
          </w:p>
        </w:tc>
        <w:tc>
          <w:tcPr>
            <w:tcW w:w="1392" w:type="dxa"/>
          </w:tcPr>
          <w:p w14:paraId="08C75819">
            <w:pPr>
              <w:jc w:val="right"/>
            </w:pPr>
            <w:r>
              <w:rPr>
                <w:rFonts w:ascii="Times New Roman" w:hAnsi="Times New Roman" w:eastAsia="Times New Roman" w:cs="Times New Roman"/>
                <w:b w:val="0"/>
                <w:i w:val="0"/>
                <w:sz w:val="22"/>
              </w:rPr>
              <w:t>2,69%</w:t>
            </w:r>
          </w:p>
        </w:tc>
        <w:tc>
          <w:tcPr>
            <w:tcW w:w="1392" w:type="dxa"/>
          </w:tcPr>
          <w:p w14:paraId="2CFD6F9E">
            <w:pPr>
              <w:jc w:val="right"/>
            </w:pPr>
            <w:r>
              <w:rPr>
                <w:rFonts w:ascii="Times New Roman" w:hAnsi="Times New Roman" w:eastAsia="Times New Roman" w:cs="Times New Roman"/>
                <w:b w:val="0"/>
                <w:i w:val="0"/>
                <w:sz w:val="22"/>
              </w:rPr>
              <w:t>1,55 điểm</w:t>
            </w:r>
          </w:p>
        </w:tc>
        <w:tc>
          <w:tcPr>
            <w:tcW w:w="1392" w:type="dxa"/>
          </w:tcPr>
          <w:p w14:paraId="1FED9190">
            <w:pPr>
              <w:jc w:val="right"/>
            </w:pPr>
            <w:r>
              <w:rPr>
                <w:rFonts w:ascii="Times New Roman" w:hAnsi="Times New Roman" w:eastAsia="Times New Roman" w:cs="Times New Roman"/>
                <w:b w:val="0"/>
                <w:i w:val="0"/>
                <w:sz w:val="22"/>
              </w:rPr>
              <w:t>88,03%</w:t>
            </w:r>
          </w:p>
        </w:tc>
      </w:tr>
    </w:tbl>
    <w:p w14:paraId="75E89F78"/>
    <w:p w14:paraId="04E8B60D">
      <w:pPr>
        <w:jc w:val="center"/>
      </w:pPr>
      <w:r>
        <w:drawing>
          <wp:inline distT="0" distB="0" distL="114300" distR="114300">
            <wp:extent cx="5939790" cy="1905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0000" cy="1905831"/>
                    </a:xfrm>
                    <a:prstGeom prst="rect">
                      <a:avLst/>
                    </a:prstGeom>
                  </pic:spPr>
                </pic:pic>
              </a:graphicData>
            </a:graphic>
          </wp:inline>
        </w:drawing>
      </w:r>
    </w:p>
    <w:p w14:paraId="651B2F4D">
      <w:pPr>
        <w:spacing w:after="240"/>
        <w:jc w:val="center"/>
      </w:pPr>
      <w:r>
        <w:rPr>
          <w:rFonts w:ascii="Times New Roman" w:hAnsi="Times New Roman" w:eastAsia="Times New Roman" w:cs="Times New Roman"/>
          <w:b w:val="0"/>
          <w:i/>
          <w:color w:val="666666"/>
          <w:sz w:val="18"/>
        </w:rPr>
        <w:t>Trái: coverage theo band trước và sau. Phải: đánh đổi giữa độ đều và độ rộng.</w:t>
      </w:r>
    </w:p>
    <w:p w14:paraId="5AD2B8A8">
      <w:pPr>
        <w:jc w:val="both"/>
      </w:pPr>
      <w:r>
        <w:rPr>
          <w:rFonts w:ascii="Times New Roman" w:hAnsi="Times New Roman" w:eastAsia="Times New Roman" w:cs="Times New Roman"/>
          <w:b w:val="0"/>
          <w:i w:val="0"/>
        </w:rPr>
        <w:t xml:space="preserve">CQR là phương án duy nhất kéo được band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từ 83,79% lên 88,03%, và giảm lệch coverage giữa các band từ 8,62 xuống 1,55 điểm. Cái giá là độ rộng tăng 3,2%.</w:t>
      </w:r>
    </w:p>
    <w:p w14:paraId="5FFD3F00">
      <w:pPr>
        <w:jc w:val="both"/>
      </w:pPr>
      <w:r>
        <w:rPr>
          <w:rFonts w:ascii="Times New Roman" w:hAnsi="Times New Roman" w:eastAsia="Times New Roman" w:cs="Times New Roman"/>
          <w:b w:val="0"/>
          <w:i w:val="0"/>
        </w:rPr>
        <w:t xml:space="preserve">Mondrian rẻ hơn nhiều: lệch giữa band giảm 8,62 → 6,58 điểm với độ rộng chỉ tăng 0,21%, nhưng không kéo được band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lên.</w:t>
      </w:r>
    </w:p>
    <w:p w14:paraId="5E705169">
      <w:pPr>
        <w:jc w:val="center"/>
      </w:pPr>
      <w:r>
        <w:drawing>
          <wp:inline distT="0" distB="0" distL="114300" distR="114300">
            <wp:extent cx="5939790" cy="1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0000" cy="1895904"/>
                    </a:xfrm>
                    <a:prstGeom prst="rect">
                      <a:avLst/>
                    </a:prstGeom>
                  </pic:spPr>
                </pic:pic>
              </a:graphicData>
            </a:graphic>
          </wp:inline>
        </w:drawing>
      </w:r>
    </w:p>
    <w:p w14:paraId="4669CC63">
      <w:pPr>
        <w:spacing w:after="240"/>
        <w:jc w:val="center"/>
      </w:pPr>
      <w:r>
        <w:rPr>
          <w:rFonts w:ascii="Times New Roman" w:hAnsi="Times New Roman" w:eastAsia="Times New Roman" w:cs="Times New Roman"/>
          <w:b w:val="0"/>
          <w:i/>
          <w:color w:val="666666"/>
          <w:sz w:val="18"/>
        </w:rPr>
        <w:t>Trái: cân đối hai phía trước và sau. Phải: phân phối độ rộng của phương án hiện tại so với CQR.</w:t>
      </w:r>
    </w:p>
    <w:p w14:paraId="1EAF705D">
      <w:pPr>
        <w:jc w:val="both"/>
      </w:pPr>
      <w:r>
        <w:rPr>
          <w:rFonts w:ascii="Times New Roman" w:hAnsi="Times New Roman" w:eastAsia="Times New Roman" w:cs="Times New Roman"/>
          <w:b w:val="0"/>
          <w:i w:val="0"/>
        </w:rPr>
        <w:t>Hình bên phải cho thấy khác biệt bản chất: phương án hiện tại cấp độ rộng tỷ lệ thuận với giá dự đoán, còn CQR cấp theo mức khó của từng chuyến — chuyến dễ được khoảng hẹp, chuyến khó được khoảng rộng.</w:t>
      </w:r>
    </w:p>
    <w:p w14:paraId="49F7609D">
      <w:pPr>
        <w:jc w:val="both"/>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BC4D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222222"/>
      <w:sz w:val="26"/>
      <w:szCs w:val="22"/>
      <w:lang w:val="en-US" w:eastAsia="en-US" w:bidi="ar-SA"/>
    </w:rPr>
  </w:style>
  <w:style w:type="paragraph" w:styleId="2">
    <w:name w:val="heading 1"/>
    <w:basedOn w:val="1"/>
    <w:next w:val="1"/>
    <w:link w:val="138"/>
    <w:qFormat/>
    <w:uiPriority w:val="9"/>
    <w:pPr>
      <w:keepNext/>
      <w:keepLines/>
      <w:spacing w:before="280" w:after="100"/>
      <w:outlineLvl w:val="0"/>
    </w:pPr>
    <w:rPr>
      <w:rFonts w:asciiTheme="majorHAnsi" w:hAnsiTheme="majorHAnsi" w:eastAsiaTheme="majorEastAsia" w:cstheme="majorBidi"/>
      <w:b/>
      <w:bCs/>
      <w:color w:val="0072B2"/>
      <w:sz w:val="36"/>
      <w:szCs w:val="28"/>
    </w:rPr>
  </w:style>
  <w:style w:type="paragraph" w:styleId="3">
    <w:name w:val="heading 2"/>
    <w:basedOn w:val="1"/>
    <w:next w:val="1"/>
    <w:link w:val="139"/>
    <w:unhideWhenUsed/>
    <w:qFormat/>
    <w:uiPriority w:val="9"/>
    <w:pPr>
      <w:keepNext/>
      <w:keepLines/>
      <w:spacing w:before="280" w:after="100"/>
      <w:outlineLvl w:val="1"/>
    </w:pPr>
    <w:rPr>
      <w:rFonts w:asciiTheme="majorHAnsi" w:hAnsiTheme="majorHAnsi" w:eastAsiaTheme="majorEastAsia" w:cstheme="majorBidi"/>
      <w:b/>
      <w:bCs/>
      <w:color w:val="222222"/>
      <w:sz w:val="31"/>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22222"/>
      <w:sz w:val="27"/>
    </w:rPr>
  </w:style>
  <w:style w:type="paragraph" w:styleId="5">
    <w:name w:val="heading 4"/>
    <w:basedOn w:val="1"/>
    <w:next w:val="1"/>
    <w:link w:val="150"/>
    <w:semiHidden/>
    <w:unhideWhenUsed/>
    <w:qFormat/>
    <w:uiPriority w:val="9"/>
    <w:pPr>
      <w:keepNext/>
      <w:keepLines/>
      <w:spacing w:before="200" w:after="100"/>
      <w:outlineLvl w:val="3"/>
    </w:pPr>
    <w:rPr>
      <w:rFonts w:asciiTheme="majorHAnsi" w:hAnsiTheme="majorHAnsi" w:eastAsiaTheme="majorEastAsia" w:cstheme="majorBidi"/>
      <w:b/>
      <w:bCs/>
      <w:i/>
      <w:iCs/>
      <w:color w:val="222222"/>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color w:val="4F81BD" w:themeColor="accent1"/>
      <w:sz w:val="26"/>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eastAsia="Times New Roman" w:cs="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Times New Roman" w:hAnsi="Times New Roman" w:eastAsia="Times New Roman" w:cs="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653</Words>
  <Characters>2518</Characters>
  <Lines>0</Lines>
  <Paragraphs>0</Paragraphs>
  <TotalTime>8</TotalTime>
  <ScaleCrop>false</ScaleCrop>
  <LinksUpToDate>false</LinksUpToDate>
  <CharactersWithSpaces>3046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cp:lastModifiedBy>
  <dcterms:modified xsi:type="dcterms:W3CDTF">2026-08-19T07:15:46Z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1033-12.1.0.28032</vt:lpwstr>
  </property>
  <property fmtid="{D5CDD505-2E9C-101B-9397-08002B2CF9AE}" pid="4" name="ICV">
    <vt:lpwstr>E9FE5571634F4F6F8FABF08D3DE3A26B_12</vt:lpwstr>
  </property>
</Properties>
</file>