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C0296D">
      <w:pPr>
        <w:jc w:val="center"/>
      </w:pPr>
      <w:r>
        <w:rPr>
          <w:b/>
          <w:color w:val="17365D"/>
          <w:sz w:val="42"/>
        </w:rPr>
        <w:t>WORK PLAN — COMPFARE-XANHSM</w:t>
      </w:r>
    </w:p>
    <w:p w14:paraId="5318CB04">
      <w:pPr>
        <w:jc w:val="center"/>
      </w:pPr>
      <w:r>
        <w:rPr>
          <w:color w:val="0F6B78"/>
          <w:sz w:val="24"/>
        </w:rPr>
        <w:t>Competitor Fare Forecasting with Calibrated Uncertainty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2494"/>
        <w:gridCol w:w="2948"/>
        <w:gridCol w:w="2721"/>
        <w:gridCol w:w="2778"/>
        <w:gridCol w:w="2948"/>
      </w:tblGrid>
      <w:tr w14:paraId="5B87F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14" w:type="dxa"/>
            <w:shd w:val="clear" w:color="auto" w:fill="F1F1F1"/>
          </w:tcPr>
          <w:p w14:paraId="1D5E2BE3">
            <w:pPr>
              <w:spacing w:after="40" w:line="240" w:lineRule="auto"/>
              <w:jc w:val="center"/>
            </w:pPr>
            <w:r>
              <w:rPr>
                <w:b/>
                <w:sz w:val="24"/>
              </w:rPr>
              <w:t>Tên Project *</w:t>
            </w:r>
          </w:p>
        </w:tc>
        <w:tc>
          <w:tcPr>
            <w:tcW w:w="2494" w:type="dxa"/>
            <w:shd w:val="clear" w:color="auto" w:fill="F1F1F1"/>
          </w:tcPr>
          <w:p w14:paraId="473D59CE">
            <w:pPr>
              <w:spacing w:after="40" w:line="240" w:lineRule="auto"/>
              <w:jc w:val="center"/>
            </w:pPr>
            <w:r>
              <w:rPr>
                <w:b/>
                <w:sz w:val="24"/>
              </w:rPr>
              <w:t>Sản phẩm bàn giao *</w:t>
            </w:r>
          </w:p>
        </w:tc>
        <w:tc>
          <w:tcPr>
            <w:tcW w:w="2948" w:type="dxa"/>
            <w:shd w:val="clear" w:color="auto" w:fill="F1F1F1"/>
          </w:tcPr>
          <w:p w14:paraId="1A23181F">
            <w:pPr>
              <w:spacing w:after="40" w:line="240" w:lineRule="auto"/>
              <w:jc w:val="center"/>
            </w:pPr>
            <w:r>
              <w:rPr>
                <w:b/>
                <w:sz w:val="24"/>
              </w:rPr>
              <w:t>Tiêu chí hoàn thành (kết quả đầu ra mong muốn) *</w:t>
            </w:r>
          </w:p>
        </w:tc>
        <w:tc>
          <w:tcPr>
            <w:tcW w:w="2721" w:type="dxa"/>
            <w:shd w:val="clear" w:color="auto" w:fill="F1F1F1"/>
          </w:tcPr>
          <w:p w14:paraId="2589E6AB">
            <w:pPr>
              <w:spacing w:after="40" w:line="240" w:lineRule="auto"/>
              <w:jc w:val="center"/>
            </w:pPr>
            <w:r>
              <w:rPr>
                <w:b/>
                <w:sz w:val="24"/>
              </w:rPr>
              <w:t>Công việc Sprint 1 *</w:t>
            </w:r>
          </w:p>
        </w:tc>
        <w:tc>
          <w:tcPr>
            <w:tcW w:w="2778" w:type="dxa"/>
            <w:shd w:val="clear" w:color="auto" w:fill="F1F1F1"/>
          </w:tcPr>
          <w:p w14:paraId="490599A0">
            <w:pPr>
              <w:spacing w:after="40" w:line="240" w:lineRule="auto"/>
              <w:jc w:val="center"/>
            </w:pPr>
            <w:r>
              <w:rPr>
                <w:b/>
                <w:sz w:val="24"/>
              </w:rPr>
              <w:t>Công việc Sprint 2 *</w:t>
            </w:r>
          </w:p>
        </w:tc>
        <w:tc>
          <w:tcPr>
            <w:tcW w:w="2948" w:type="dxa"/>
            <w:shd w:val="clear" w:color="auto" w:fill="F1F1F1"/>
          </w:tcPr>
          <w:p w14:paraId="6962E718">
            <w:pPr>
              <w:spacing w:after="40" w:line="240" w:lineRule="auto"/>
              <w:jc w:val="center"/>
            </w:pPr>
            <w:r>
              <w:rPr>
                <w:b/>
                <w:sz w:val="24"/>
              </w:rPr>
              <w:t>Công việc Sprint 3 *</w:t>
            </w:r>
          </w:p>
        </w:tc>
      </w:tr>
      <w:tr w14:paraId="1FBDB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EAF2F8"/>
          </w:tcPr>
          <w:p w14:paraId="6EEAD3A5">
            <w:pPr>
              <w:spacing w:after="40" w:line="240" w:lineRule="auto"/>
            </w:pPr>
            <w:r>
              <w:rPr>
                <w:b/>
                <w:sz w:val="20"/>
              </w:rPr>
              <w:t>CompFare-XanhSM: Competitor Fare Forecasting with Calibrated Uncertainty</w:t>
            </w:r>
          </w:p>
        </w:tc>
        <w:tc>
          <w:tcPr>
            <w:tcW w:w="2494" w:type="dxa"/>
            <w:shd w:val="clear" w:color="auto" w:fill="FFFFFF"/>
          </w:tcPr>
          <w:p w14:paraId="6753A94A">
            <w:pPr>
              <w:spacing w:after="40" w:line="240" w:lineRule="auto"/>
            </w:pPr>
            <w:r>
              <w:rPr>
                <w:sz w:val="20"/>
              </w:rPr>
              <w:t>PoC ước lượng giá đối thủ tại thời điểm hiện tại từ quan sát có độ trễ, gồm ba cấu phần:</w:t>
            </w:r>
          </w:p>
          <w:p w14:paraId="6077DD07">
            <w:pPr>
              <w:spacing w:after="40" w:line="240" w:lineRule="auto"/>
            </w:pPr>
            <w:r>
              <w:rPr>
                <w:sz w:val="20"/>
              </w:rPr>
              <w:t>(i) phân tích yếu tố quyết định price và price multiplier;</w:t>
            </w:r>
          </w:p>
          <w:p w14:paraId="70D76ABD">
            <w:pPr>
              <w:spacing w:after="40" w:line="240" w:lineRule="auto"/>
            </w:pPr>
            <w:r>
              <w:rPr>
                <w:sz w:val="20"/>
              </w:rPr>
              <w:t>(ii) model dự báo price và multiplier từ delayed observations;</w:t>
            </w:r>
          </w:p>
          <w:p w14:paraId="4D36CFAC">
            <w:pPr>
              <w:spacing w:after="40" w:line="240" w:lineRule="auto"/>
            </w:pPr>
            <w:r>
              <w:rPr>
                <w:sz w:val="20"/>
              </w:rPr>
              <w:t>(iii) uncertainty quantification xuất prediction interval đã hiệu chuẩn (ví dụ 80% PI: [17.20, 20.60]).</w:t>
            </w:r>
          </w:p>
          <w:p w14:paraId="60B9FD5F">
            <w:pPr>
              <w:spacing w:after="40" w:line="240" w:lineRule="auto"/>
            </w:pPr>
            <w:r>
              <w:rPr>
                <w:sz w:val="20"/>
              </w:rPr>
              <w:t>Kèm: benchmark trên public data (Uber/Lyft Boston, 638k bản ghi, 23 ngày, có weather), decision rule cho pricing algo, source code, technical report và 6 weekly report.</w:t>
            </w:r>
          </w:p>
        </w:tc>
        <w:tc>
          <w:tcPr>
            <w:tcW w:w="2948" w:type="dxa"/>
            <w:shd w:val="clear" w:color="auto" w:fill="EAF2F8"/>
          </w:tcPr>
          <w:p w14:paraId="392D27E0">
            <w:pPr>
              <w:spacing w:after="40" w:line="240" w:lineRule="auto"/>
            </w:pPr>
            <w:r>
              <w:rPr>
                <w:sz w:val="20"/>
              </w:rPr>
              <w:t>• Pipeline chạy end-to-end từ raw data đến prediction interval, tái lập được.</w:t>
            </w:r>
          </w:p>
          <w:p w14:paraId="58F5AF3C">
            <w:pPr>
              <w:spacing w:after="40" w:line="240" w:lineRule="auto"/>
            </w:pPr>
            <w:r>
              <w:rPr>
                <w:sz w:val="20"/>
              </w:rPr>
              <w:t>• (i) Xác định và lượng hóa được các driver chính của price và multiplier.</w:t>
            </w:r>
          </w:p>
          <w:p w14:paraId="7B1D51C1">
            <w:pPr>
              <w:spacing w:after="40" w:line="240" w:lineRule="auto"/>
            </w:pPr>
            <w:r>
              <w:rPr>
                <w:sz w:val="20"/>
              </w:rPr>
              <w:t>• (ii) Cải thiện tối thiểu 20% MAE so với baseline persistence, trên time-based split không leakage.</w:t>
            </w:r>
          </w:p>
          <w:p w14:paraId="63AA50AE">
            <w:pPr>
              <w:spacing w:after="40" w:line="240" w:lineRule="auto"/>
            </w:pPr>
            <w:r>
              <w:rPr>
                <w:sz w:val="20"/>
              </w:rPr>
              <w:t>• (iii) Coverage của 80% và 90% PI sai lệch ≤3 điểm phần trăm so với mức danh nghĩa, với interval width nhỏ nhất có thể.</w:t>
            </w:r>
          </w:p>
          <w:p w14:paraId="3C7CAA17">
            <w:pPr>
              <w:spacing w:after="40" w:line="240" w:lineRule="auto"/>
            </w:pPr>
            <w:r>
              <w:rPr>
                <w:sz w:val="20"/>
              </w:rPr>
              <w:t>• Interval nới đúng chỗ: coverage được kiểm theo lát cắt (cao điểm, thời tiết, surge, route hiếm, độ trễ).</w:t>
            </w:r>
          </w:p>
          <w:p w14:paraId="08D91F52">
            <w:pPr>
              <w:spacing w:after="40" w:line="240" w:lineRule="auto"/>
            </w:pPr>
            <w:r>
              <w:rPr>
                <w:sz w:val="20"/>
              </w:rPr>
              <w:t>• Có decision rule: ngưỡng interval mà pricing algo được phép dùng tín hiệu giá đối thủ.</w:t>
            </w:r>
          </w:p>
          <w:p w14:paraId="6F7004BC">
            <w:pPr>
              <w:spacing w:after="40" w:line="240" w:lineRule="auto"/>
            </w:pPr>
            <w:r>
              <w:rPr>
                <w:sz w:val="20"/>
              </w:rPr>
              <w:t>• Mỗi tuần một weekly report với punchline đóng vai trò sprint goal.</w:t>
            </w:r>
          </w:p>
        </w:tc>
        <w:tc>
          <w:tcPr>
            <w:tcW w:w="2721" w:type="dxa"/>
            <w:shd w:val="clear" w:color="auto" w:fill="FFFFFF"/>
          </w:tcPr>
          <w:p w14:paraId="0C662BB3">
            <w:pPr>
              <w:spacing w:after="40" w:line="240" w:lineRule="auto"/>
            </w:pPr>
            <w:r>
              <w:rPr>
                <w:sz w:val="20"/>
              </w:rPr>
              <w:t>Trọng tâm: cấu phần (i) và baseline của (ii).</w:t>
            </w:r>
          </w:p>
          <w:p w14:paraId="531480A9">
            <w:pPr>
              <w:spacing w:after="40" w:line="240" w:lineRule="auto"/>
            </w:pPr>
            <w:r>
              <w:rPr>
                <w:sz w:val="20"/>
              </w:rPr>
              <w:t>• Chốt data contract: delay τ, đơn vị dự báo (route × service × time bucket), target gồm price và multiplier.</w:t>
            </w:r>
          </w:p>
          <w:p w14:paraId="3A5A2BBE">
            <w:pPr>
              <w:spacing w:after="40" w:line="240" w:lineRule="auto"/>
            </w:pPr>
            <w:r>
              <w:rPr>
                <w:sz w:val="20"/>
              </w:rPr>
              <w:t>• Rebuild snapshot ở bucket 5–10 phút thay bản theo giờ; giữ observation age làm feature; lọc route đủ dày.</w:t>
            </w:r>
          </w:p>
          <w:p w14:paraId="4B43B4B6">
            <w:pPr>
              <w:spacing w:after="40" w:line="240" w:lineRule="auto"/>
            </w:pPr>
            <w:r>
              <w:rPr>
                <w:sz w:val="20"/>
              </w:rPr>
              <w:t>• EDA (i): Hiếu phân tích driver của giá; Chiến phân tích driver của biến động giá.</w:t>
            </w:r>
          </w:p>
          <w:p w14:paraId="5907F7E9">
            <w:pPr>
              <w:spacing w:after="40" w:line="240" w:lineRule="auto"/>
            </w:pPr>
            <w:r>
              <w:rPr>
                <w:sz w:val="20"/>
              </w:rPr>
              <w:t>• Baseline persistence + model gradient boosting đầu tiên; chốt protocol đánh giá và kiểm tra leakage.</w:t>
            </w:r>
          </w:p>
          <w:p w14:paraId="0C5C1488">
            <w:pPr>
              <w:spacing w:after="40" w:line="240" w:lineRule="auto"/>
            </w:pPr>
            <w:r>
              <w:rPr>
                <w:sz w:val="20"/>
              </w:rPr>
              <w:t>• Khảo sát public dataset bổ sung; xin mentor distribution hoặc simulated data.</w:t>
            </w:r>
          </w:p>
        </w:tc>
        <w:tc>
          <w:tcPr>
            <w:tcW w:w="2778" w:type="dxa"/>
            <w:shd w:val="clear" w:color="auto" w:fill="EAF2F8"/>
          </w:tcPr>
          <w:p w14:paraId="1C4BCB98">
            <w:pPr>
              <w:spacing w:after="40" w:line="240" w:lineRule="auto"/>
            </w:pPr>
            <w:r>
              <w:rPr>
                <w:sz w:val="20"/>
              </w:rPr>
              <w:t>Trọng tâm: hoàn thiện (ii), khởi động (iii).</w:t>
            </w:r>
          </w:p>
          <w:p w14:paraId="57A16EDD">
            <w:pPr>
              <w:spacing w:after="40" w:line="240" w:lineRule="auto"/>
            </w:pPr>
            <w:r>
              <w:rPr>
                <w:sz w:val="20"/>
              </w:rPr>
              <w:t>• Feature engineering: lag price, rolling mean/std, route encoding, weather, observation age.</w:t>
            </w:r>
          </w:p>
          <w:p w14:paraId="20837476">
            <w:pPr>
              <w:spacing w:after="40" w:line="240" w:lineRule="auto"/>
            </w:pPr>
            <w:r>
              <w:rPr>
                <w:sz w:val="20"/>
              </w:rPr>
              <w:t>• So sánh có kiểm soát các model trên cùng test set; thử ensemble nếu sai số bổ trợ nhau.</w:t>
            </w:r>
          </w:p>
          <w:p w14:paraId="13F6FAB9">
            <w:pPr>
              <w:spacing w:after="40" w:line="240" w:lineRule="auto"/>
            </w:pPr>
            <w:r>
              <w:rPr>
                <w:sz w:val="20"/>
              </w:rPr>
              <w:t>• Ablation weather / lịch sử giá / route; phân tích sai số theo τ và theo lát cắt.</w:t>
            </w:r>
          </w:p>
          <w:p w14:paraId="6FD9F717">
            <w:pPr>
              <w:spacing w:after="40" w:line="240" w:lineRule="auto"/>
            </w:pPr>
            <w:r>
              <w:rPr>
                <w:sz w:val="20"/>
              </w:rPr>
              <w:t>• EDA (iii): yếu tố quyết định độ bất định của dự báo.</w:t>
            </w:r>
          </w:p>
          <w:p w14:paraId="7F8356D3">
            <w:pPr>
              <w:spacing w:after="40" w:line="240" w:lineRule="auto"/>
            </w:pPr>
            <w:r>
              <w:rPr>
                <w:sz w:val="20"/>
              </w:rPr>
              <w:t>• Prototype uncertainty: quantile regression, split conformal, ensemble interval; đo coverage sơ bộ.</w:t>
            </w:r>
          </w:p>
        </w:tc>
        <w:tc>
          <w:tcPr>
            <w:tcW w:w="2948" w:type="dxa"/>
            <w:shd w:val="clear" w:color="auto" w:fill="FFFFFF"/>
          </w:tcPr>
          <w:p w14:paraId="5BFB2CD1">
            <w:pPr>
              <w:spacing w:after="40" w:line="240" w:lineRule="auto"/>
            </w:pPr>
            <w:r>
              <w:rPr>
                <w:sz w:val="20"/>
              </w:rPr>
              <w:t>Trọng tâm: hoàn thiện (iii) và bàn giao.</w:t>
            </w:r>
          </w:p>
          <w:p w14:paraId="4F489546">
            <w:pPr>
              <w:spacing w:after="40" w:line="240" w:lineRule="auto"/>
            </w:pPr>
            <w:r>
              <w:rPr>
                <w:sz w:val="20"/>
              </w:rPr>
              <w:t>• Adaptive/Mondrian conformal: hiệu chuẩn theo nhóm để interval phản ánh đúng mức khó.</w:t>
            </w:r>
          </w:p>
          <w:p w14:paraId="3D74D385">
            <w:pPr>
              <w:spacing w:after="40" w:line="240" w:lineRule="auto"/>
            </w:pPr>
            <w:r>
              <w:rPr>
                <w:sz w:val="20"/>
              </w:rPr>
              <w:t>• Đánh giá đầy đủ: marginal và conditional coverage, width, pinball loss, CRPS, reliability diagram.</w:t>
            </w:r>
          </w:p>
          <w:p w14:paraId="56950539">
            <w:pPr>
              <w:spacing w:after="40" w:line="240" w:lineRule="auto"/>
            </w:pPr>
            <w:r>
              <w:rPr>
                <w:sz w:val="20"/>
              </w:rPr>
              <w:t>• Stress test nhiều kịch bản; xây decision rule và mô phỏng tác động; đo decision latency.</w:t>
            </w:r>
          </w:p>
          <w:p w14:paraId="645A25D7">
            <w:pPr>
              <w:spacing w:after="40" w:line="240" w:lineRule="auto"/>
            </w:pPr>
            <w:r>
              <w:rPr>
                <w:sz w:val="20"/>
              </w:rPr>
              <w:t>• Hoàn thiện PoC, report, demo và gói bàn giao để mentor test trên dataset GreenSM.</w:t>
            </w:r>
          </w:p>
        </w:tc>
      </w:tr>
    </w:tbl>
    <w:p w14:paraId="1A5096BC"/>
    <w:p w14:paraId="56CA4A44">
      <w:pPr>
        <w:spacing w:before="100" w:after="40"/>
      </w:pPr>
      <w:bookmarkStart w:id="0" w:name="_GoBack"/>
      <w:bookmarkEnd w:id="0"/>
      <w:r>
        <w:rPr>
          <w:b/>
          <w:color w:val="414B55"/>
          <w:sz w:val="20"/>
        </w:rPr>
        <w:t xml:space="preserve">Cấu trúc project theo định hướng mentor: </w:t>
      </w:r>
      <w:r>
        <w:rPr>
          <w:color w:val="414B55"/>
          <w:sz w:val="20"/>
        </w:rPr>
        <w:t>(i) study quan hệ giữa các key feature với price và price multiplier; (ii) build model dự báo price và price multiplier từ delayed observations; (iii) uncertainty quantification để xuất prediction interval đã hiệu chuẩn.</w:t>
      </w:r>
    </w:p>
    <w:p w14:paraId="1CD41FD1">
      <w:pPr>
        <w:spacing w:before="100" w:after="40"/>
      </w:pPr>
      <w:r>
        <w:rPr>
          <w:b/>
          <w:color w:val="414B55"/>
          <w:sz w:val="20"/>
        </w:rPr>
        <w:t xml:space="preserve">Phân công: </w:t>
      </w:r>
      <w:r>
        <w:rPr>
          <w:color w:val="414B55"/>
          <w:sz w:val="20"/>
        </w:rPr>
        <w:t>Nguyễn Đức Hiếu focus cấu phần (ii), trọng tâm EDA là “What features determine price?”. Nguyễn Minh Chiến focus cấu phần (iii), trọng tâm EDA là “What determines forecast uncertainty?”. Sprint 1–2 Chiến support Hiếu ở phần model vì (ii) phải xong trước mới roll out được (iii); Sprint 3 Hiếu support Chiến ở phần uncertainty vì đây là phần khó và dễ mất thời gian nhất. Phân công là trọng số, không phải ranh giới cứng.</w:t>
      </w:r>
    </w:p>
    <w:p w14:paraId="5EF2898C">
      <w:pPr>
        <w:spacing w:before="100" w:after="40"/>
      </w:pPr>
      <w:r>
        <w:rPr>
          <w:b/>
          <w:color w:val="414B55"/>
          <w:sz w:val="20"/>
        </w:rPr>
        <w:t xml:space="preserve">Chế độ báo cáo: </w:t>
      </w:r>
      <w:r>
        <w:rPr>
          <w:color w:val="414B55"/>
          <w:sz w:val="20"/>
        </w:rPr>
        <w:t>nộp weekly report vào cuối mỗi tuần, không nộp daily. Mỗi report mở đầu bằng (a) vấn đề đang giải quyết hoặc weakness của tuần trước, và (b) punchline — key contribution của tuần, đóng vai trò sprint goal. Punchline dự kiến của từng tuần được ghi ở dòng đầu cột Mục tiêu trong bảng dưới.</w:t>
      </w:r>
    </w:p>
    <w:p w14:paraId="6F8E1C62">
      <w:pPr>
        <w:spacing w:before="80" w:after="20"/>
      </w:pPr>
      <w:r>
        <w:rPr>
          <w:rFonts w:ascii="Arial" w:hAnsi="Arial"/>
          <w:b/>
          <w:color w:val="006653"/>
          <w:sz w:val="24"/>
        </w:rPr>
        <w:t>BẢNG KẾ HOẠCH CHI TIẾT 6 TUẦN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8"/>
        <w:gridCol w:w="1945"/>
        <w:gridCol w:w="4966"/>
        <w:gridCol w:w="2767"/>
        <w:gridCol w:w="5227"/>
      </w:tblGrid>
      <w:tr w14:paraId="5CA95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48" w:type="dxa"/>
            <w:shd w:val="clear" w:color="auto" w:fill="006653"/>
            <w:vAlign w:val="center"/>
          </w:tcPr>
          <w:p w14:paraId="1C13AF52">
            <w:pPr>
              <w:spacing w:after="0" w:line="240" w:lineRule="auto"/>
              <w:jc w:val="center"/>
            </w:pPr>
            <w:r>
              <w:rPr>
                <w:rFonts w:ascii="Arial" w:hAnsi="Arial"/>
                <w:b/>
                <w:color w:val="FFFFFF"/>
                <w:sz w:val="20"/>
              </w:rPr>
              <w:t>Tuần</w:t>
            </w:r>
          </w:p>
        </w:tc>
        <w:tc>
          <w:tcPr>
            <w:tcW w:w="1945" w:type="dxa"/>
            <w:shd w:val="clear" w:color="auto" w:fill="006653"/>
            <w:vAlign w:val="center"/>
          </w:tcPr>
          <w:p w14:paraId="0A020FC7">
            <w:pPr>
              <w:spacing w:after="0" w:line="240" w:lineRule="auto"/>
              <w:jc w:val="center"/>
            </w:pPr>
            <w:r>
              <w:rPr>
                <w:rFonts w:ascii="Arial" w:hAnsi="Arial"/>
                <w:b/>
                <w:color w:val="FFFFFF"/>
                <w:sz w:val="20"/>
              </w:rPr>
              <w:t>Mục tiêu và punchline dự kiến</w:t>
            </w:r>
          </w:p>
        </w:tc>
        <w:tc>
          <w:tcPr>
            <w:tcW w:w="4966" w:type="dxa"/>
            <w:shd w:val="clear" w:color="auto" w:fill="006653"/>
            <w:vAlign w:val="center"/>
          </w:tcPr>
          <w:p w14:paraId="77ABB69D">
            <w:pPr>
              <w:spacing w:after="0" w:line="240" w:lineRule="auto"/>
              <w:jc w:val="center"/>
            </w:pPr>
            <w:r>
              <w:rPr>
                <w:rFonts w:ascii="Arial" w:hAnsi="Arial"/>
                <w:b/>
                <w:color w:val="FFFFFF"/>
                <w:sz w:val="20"/>
              </w:rPr>
              <w:t>Công việc chính</w:t>
            </w:r>
          </w:p>
        </w:tc>
        <w:tc>
          <w:tcPr>
            <w:tcW w:w="2767" w:type="dxa"/>
            <w:shd w:val="clear" w:color="auto" w:fill="006653"/>
            <w:vAlign w:val="center"/>
          </w:tcPr>
          <w:p w14:paraId="2399402B">
            <w:pPr>
              <w:spacing w:after="0" w:line="240" w:lineRule="auto"/>
              <w:jc w:val="center"/>
            </w:pPr>
            <w:r>
              <w:rPr>
                <w:rFonts w:ascii="Arial" w:hAnsi="Arial"/>
                <w:b/>
                <w:color w:val="FFFFFF"/>
                <w:sz w:val="20"/>
              </w:rPr>
              <w:t>Sản phẩm bàn giao</w:t>
            </w:r>
          </w:p>
        </w:tc>
        <w:tc>
          <w:tcPr>
            <w:tcW w:w="5227" w:type="dxa"/>
            <w:shd w:val="clear" w:color="auto" w:fill="006653"/>
            <w:vAlign w:val="center"/>
          </w:tcPr>
          <w:p w14:paraId="3020C6C7">
            <w:pPr>
              <w:spacing w:after="0" w:line="240" w:lineRule="auto"/>
              <w:jc w:val="center"/>
            </w:pPr>
            <w:r>
              <w:rPr>
                <w:rFonts w:ascii="Arial" w:hAnsi="Arial"/>
                <w:b/>
                <w:color w:val="FFFFFF"/>
                <w:sz w:val="20"/>
              </w:rPr>
              <w:t>Tiêu chí hoàn thành và cổng kiểm soát</w:t>
            </w:r>
          </w:p>
        </w:tc>
      </w:tr>
      <w:tr w14:paraId="7A6A4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Align w:val="center"/>
          </w:tcPr>
          <w:p w14:paraId="7777CC89">
            <w:pPr>
              <w:spacing w:after="10" w:line="240" w:lineRule="auto"/>
              <w:jc w:val="center"/>
            </w:pPr>
            <w:r>
              <w:rPr>
                <w:rFonts w:ascii="Arial" w:hAnsi="Arial"/>
                <w:b/>
                <w:sz w:val="20"/>
              </w:rPr>
              <w:t>1</w:t>
            </w:r>
          </w:p>
          <w:p w14:paraId="3D4BAAEE">
            <w:pPr>
              <w:spacing w:after="10" w:line="240" w:lineRule="auto"/>
              <w:jc w:val="center"/>
            </w:pPr>
            <w:r>
              <w:rPr>
                <w:rFonts w:ascii="Arial" w:hAnsi="Arial"/>
                <w:b/>
                <w:sz w:val="20"/>
              </w:rPr>
              <w:t>(Sprint 1)</w:t>
            </w:r>
          </w:p>
        </w:tc>
        <w:tc>
          <w:tcPr>
            <w:tcW w:w="1945" w:type="dxa"/>
          </w:tcPr>
          <w:p w14:paraId="7E00F714">
            <w:pPr>
              <w:spacing w:after="10" w:line="240" w:lineRule="auto"/>
            </w:pPr>
            <w:r>
              <w:rPr>
                <w:rFonts w:ascii="Arial" w:hAnsi="Arial"/>
                <w:sz w:val="20"/>
              </w:rPr>
              <w:t>Punchline: Giá đối thủ do những yếu tố nào quyết định, và quan sát trễ bao lâu thì còn dùng được.</w:t>
            </w:r>
          </w:p>
          <w:p w14:paraId="4E6F0B05">
            <w:pPr>
              <w:spacing w:after="10" w:line="240" w:lineRule="auto"/>
            </w:pPr>
            <w:r>
              <w:rPr>
                <w:rFonts w:ascii="Arial" w:hAnsi="Arial"/>
                <w:sz w:val="20"/>
              </w:rPr>
              <w:t>• Hoàn thành cấu phần (i).</w:t>
            </w:r>
          </w:p>
          <w:p w14:paraId="20A1978F">
            <w:pPr>
              <w:spacing w:after="10" w:line="240" w:lineRule="auto"/>
            </w:pPr>
            <w:r>
              <w:rPr>
                <w:rFonts w:ascii="Arial" w:hAnsi="Arial"/>
                <w:sz w:val="20"/>
              </w:rPr>
              <w:t>• Khóa đầu vào để phần sau không phải làm lại.</w:t>
            </w:r>
          </w:p>
        </w:tc>
        <w:tc>
          <w:tcPr>
            <w:tcW w:w="4966" w:type="dxa"/>
          </w:tcPr>
          <w:p w14:paraId="4ABE3FE7">
            <w:pPr>
              <w:spacing w:after="10" w:line="240" w:lineRule="auto"/>
            </w:pPr>
            <w:r>
              <w:rPr>
                <w:rFonts w:ascii="Arial" w:hAnsi="Arial"/>
                <w:sz w:val="20"/>
              </w:rPr>
              <w:t>• Chốt data contract: τ, đơn vị dự báo, target price và multiplier. (cả nhóm)</w:t>
            </w:r>
          </w:p>
          <w:p w14:paraId="1C0B0F23">
            <w:pPr>
              <w:spacing w:after="10" w:line="240" w:lineRule="auto"/>
            </w:pPr>
            <w:r>
              <w:rPr>
                <w:rFonts w:ascii="Arial" w:hAnsi="Arial"/>
                <w:sz w:val="20"/>
              </w:rPr>
              <w:t>• Đo phân bố khoảng cách giữa hai quan sát liên tiếp để chốt τ khả thi. Sơ bộ: median 16,6 phút; 35% gap ≤ 10 phút. (Hiếu)</w:t>
            </w:r>
          </w:p>
          <w:p w14:paraId="0C337637">
            <w:pPr>
              <w:spacing w:after="10" w:line="240" w:lineRule="auto"/>
            </w:pPr>
            <w:r>
              <w:rPr>
                <w:rFonts w:ascii="Arial" w:hAnsi="Arial"/>
                <w:sz w:val="20"/>
              </w:rPr>
              <w:t>• Rebuild snapshot ở bucket 5–10 phút, giữ observation age làm feature; lọc route đủ dày. (Hiếu)</w:t>
            </w:r>
          </w:p>
          <w:p w14:paraId="1B28B849">
            <w:pPr>
              <w:spacing w:after="10" w:line="240" w:lineRule="auto"/>
            </w:pPr>
            <w:r>
              <w:rPr>
                <w:rFonts w:ascii="Arial" w:hAnsi="Arial"/>
                <w:sz w:val="20"/>
              </w:rPr>
              <w:t>• EDA (i) — Hiếu: price và multiplier theo giờ, thứ, quãng đường, route, loại dịch vụ, thời tiết.</w:t>
            </w:r>
          </w:p>
          <w:p w14:paraId="3482CEAE">
            <w:pPr>
              <w:spacing w:after="10" w:line="240" w:lineRule="auto"/>
            </w:pPr>
            <w:r>
              <w:rPr>
                <w:rFonts w:ascii="Arial" w:hAnsi="Arial"/>
                <w:sz w:val="20"/>
              </w:rPr>
              <w:t>• EDA (i) — Chiến: biến động giá theo bước 5–10 phút và autocorrelation, làm tiền đề cho (iii).</w:t>
            </w:r>
          </w:p>
          <w:p w14:paraId="05F1541E">
            <w:pPr>
              <w:spacing w:after="10" w:line="240" w:lineRule="auto"/>
            </w:pPr>
            <w:r>
              <w:rPr>
                <w:rFonts w:ascii="Arial" w:hAnsi="Arial"/>
                <w:sz w:val="20"/>
              </w:rPr>
              <w:t>• Khảo sát public dataset bổ sung; xin mentor distribution/simulated data. (Chiến)</w:t>
            </w:r>
          </w:p>
        </w:tc>
        <w:tc>
          <w:tcPr>
            <w:tcW w:w="2767" w:type="dxa"/>
          </w:tcPr>
          <w:p w14:paraId="545DDB71">
            <w:pPr>
              <w:spacing w:after="10" w:line="240" w:lineRule="auto"/>
            </w:pPr>
            <w:r>
              <w:rPr>
                <w:rFonts w:ascii="Arial" w:hAnsi="Arial"/>
                <w:sz w:val="20"/>
              </w:rPr>
              <w:t>• week1_report.md</w:t>
            </w:r>
          </w:p>
          <w:p w14:paraId="0EE5729D">
            <w:pPr>
              <w:spacing w:after="10" w:line="240" w:lineRule="auto"/>
            </w:pPr>
            <w:r>
              <w:rPr>
                <w:rFonts w:ascii="Arial" w:hAnsi="Arial"/>
                <w:sz w:val="20"/>
              </w:rPr>
              <w:t>• data_contract.md</w:t>
            </w:r>
          </w:p>
          <w:p w14:paraId="218B60D0">
            <w:pPr>
              <w:spacing w:after="10" w:line="240" w:lineRule="auto"/>
            </w:pPr>
            <w:r>
              <w:rPr>
                <w:rFonts w:ascii="Arial" w:hAnsi="Arial"/>
                <w:sz w:val="20"/>
              </w:rPr>
              <w:t>• snapshot_table_10min</w:t>
            </w:r>
          </w:p>
          <w:p w14:paraId="4A17FC85">
            <w:pPr>
              <w:spacing w:after="10" w:line="240" w:lineRule="auto"/>
            </w:pPr>
            <w:r>
              <w:rPr>
                <w:rFonts w:ascii="Arial" w:hAnsi="Arial"/>
                <w:sz w:val="20"/>
              </w:rPr>
              <w:t>• eda_price_drivers.md</w:t>
            </w:r>
          </w:p>
          <w:p w14:paraId="315C511C">
            <w:pPr>
              <w:spacing w:after="10" w:line="240" w:lineRule="auto"/>
            </w:pPr>
            <w:r>
              <w:rPr>
                <w:rFonts w:ascii="Arial" w:hAnsi="Arial"/>
                <w:sz w:val="20"/>
              </w:rPr>
              <w:t>• price_volatility_analysis.md</w:t>
            </w:r>
          </w:p>
          <w:p w14:paraId="40E62DB9">
            <w:pPr>
              <w:spacing w:after="10" w:line="240" w:lineRule="auto"/>
            </w:pPr>
            <w:r>
              <w:rPr>
                <w:rFonts w:ascii="Arial" w:hAnsi="Arial"/>
                <w:sz w:val="20"/>
              </w:rPr>
              <w:t>• dataset_survey.md</w:t>
            </w:r>
          </w:p>
        </w:tc>
        <w:tc>
          <w:tcPr>
            <w:tcW w:w="5227" w:type="dxa"/>
          </w:tcPr>
          <w:p w14:paraId="1F5810A6">
            <w:pPr>
              <w:spacing w:after="10" w:line="240" w:lineRule="auto"/>
            </w:pPr>
            <w:r>
              <w:rPr>
                <w:rFonts w:ascii="Arial" w:hAnsi="Arial"/>
                <w:sz w:val="20"/>
              </w:rPr>
              <w:t>• Định nghĩa τ, đơn vị dự báo và target được mentor review.</w:t>
            </w:r>
          </w:p>
          <w:p w14:paraId="00C4FC5F">
            <w:pPr>
              <w:spacing w:after="10" w:line="240" w:lineRule="auto"/>
            </w:pPr>
            <w:r>
              <w:rPr>
                <w:rFonts w:ascii="Arial" w:hAnsi="Arial"/>
                <w:sz w:val="20"/>
              </w:rPr>
              <w:t>• Snapshot không chứa thông tin tương lai, có script kiểm tra leakage.</w:t>
            </w:r>
          </w:p>
          <w:p w14:paraId="0E98EBE4">
            <w:pPr>
              <w:spacing w:after="10" w:line="240" w:lineRule="auto"/>
            </w:pPr>
            <w:r>
              <w:rPr>
                <w:rFonts w:ascii="Arial" w:hAnsi="Arial"/>
                <w:sz w:val="20"/>
              </w:rPr>
              <w:t>• EDA nêu tối thiểu 3 phát hiện định lượng về driver của giá.</w:t>
            </w:r>
          </w:p>
          <w:p w14:paraId="17BFFF40">
            <w:pPr>
              <w:spacing w:after="10" w:line="240" w:lineRule="auto"/>
            </w:pPr>
            <w:r>
              <w:rPr>
                <w:rFonts w:ascii="Arial" w:hAnsi="Arial"/>
                <w:sz w:val="20"/>
              </w:rPr>
              <w:t>• Gate: nếu tập route đủ dày quá nhỏ, nới bucket lên 15 phút và ghi rõ khoảng cách so với đề bài.</w:t>
            </w:r>
          </w:p>
          <w:p w14:paraId="1FEF5070">
            <w:pPr>
              <w:spacing w:after="10" w:line="240" w:lineRule="auto"/>
            </w:pPr>
            <w:r>
              <w:rPr>
                <w:rFonts w:ascii="Arial" w:hAnsi="Arial"/>
                <w:sz w:val="20"/>
              </w:rPr>
              <w:t>• Gate: nếu persistence đã gần tối ưu, chuyển trọng tâm sang multiplier và các lát cắt khó.</w:t>
            </w:r>
          </w:p>
        </w:tc>
      </w:tr>
      <w:tr w14:paraId="0B932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shd w:val="clear" w:color="auto" w:fill="EAF4F1"/>
            <w:vAlign w:val="center"/>
          </w:tcPr>
          <w:p w14:paraId="7A4ECE7E">
            <w:pPr>
              <w:spacing w:after="10" w:line="240" w:lineRule="auto"/>
              <w:jc w:val="center"/>
            </w:pPr>
            <w:r>
              <w:rPr>
                <w:rFonts w:ascii="Arial" w:hAnsi="Arial"/>
                <w:b/>
                <w:sz w:val="20"/>
              </w:rPr>
              <w:t>2</w:t>
            </w:r>
          </w:p>
          <w:p w14:paraId="0BDCF7FB">
            <w:pPr>
              <w:spacing w:after="10" w:line="240" w:lineRule="auto"/>
              <w:jc w:val="center"/>
            </w:pPr>
            <w:r>
              <w:rPr>
                <w:rFonts w:ascii="Arial" w:hAnsi="Arial"/>
                <w:b/>
                <w:sz w:val="20"/>
              </w:rPr>
              <w:t>(Sprint 1)</w:t>
            </w:r>
          </w:p>
        </w:tc>
        <w:tc>
          <w:tcPr>
            <w:tcW w:w="1945" w:type="dxa"/>
            <w:shd w:val="clear" w:color="auto" w:fill="EAF4F1"/>
          </w:tcPr>
          <w:p w14:paraId="47073749">
            <w:pPr>
              <w:spacing w:after="10" w:line="240" w:lineRule="auto"/>
            </w:pPr>
            <w:r>
              <w:rPr>
                <w:rFonts w:ascii="Arial" w:hAnsi="Arial"/>
                <w:sz w:val="20"/>
              </w:rPr>
              <w:t>Punchline: Có model đầu tiên thắng baseline persistence, trên protocol đánh giá không leakage.</w:t>
            </w:r>
          </w:p>
          <w:p w14:paraId="0721623D">
            <w:pPr>
              <w:spacing w:after="10" w:line="240" w:lineRule="auto"/>
            </w:pPr>
            <w:r>
              <w:rPr>
                <w:rFonts w:ascii="Arial" w:hAnsi="Arial"/>
                <w:sz w:val="20"/>
              </w:rPr>
              <w:t>• Khởi động cấu phần (ii).</w:t>
            </w:r>
          </w:p>
          <w:p w14:paraId="4D73B447">
            <w:pPr>
              <w:spacing w:after="10" w:line="240" w:lineRule="auto"/>
            </w:pPr>
            <w:r>
              <w:rPr>
                <w:rFonts w:ascii="Arial" w:hAnsi="Arial"/>
                <w:sz w:val="20"/>
              </w:rPr>
              <w:t>• Chốt protocol đánh giá cho toàn dự án.</w:t>
            </w:r>
          </w:p>
        </w:tc>
        <w:tc>
          <w:tcPr>
            <w:tcW w:w="4966" w:type="dxa"/>
            <w:shd w:val="clear" w:color="auto" w:fill="EAF4F1"/>
          </w:tcPr>
          <w:p w14:paraId="3BF968FC">
            <w:pPr>
              <w:spacing w:after="10" w:line="240" w:lineRule="auto"/>
            </w:pPr>
            <w:r>
              <w:rPr>
                <w:rFonts w:ascii="Arial" w:hAnsi="Arial"/>
                <w:sz w:val="20"/>
              </w:rPr>
              <w:t>• Baseline persistence và historical-average. (Hiếu)</w:t>
            </w:r>
          </w:p>
          <w:p w14:paraId="0483B8FA">
            <w:pPr>
              <w:spacing w:after="10" w:line="240" w:lineRule="auto"/>
            </w:pPr>
            <w:r>
              <w:rPr>
                <w:rFonts w:ascii="Arial" w:hAnsi="Arial"/>
                <w:sz w:val="20"/>
              </w:rPr>
              <w:t>• Feature engineering vòng 1: lag price, rolling mean/std, route encoding, weather, observation age. (Hiếu)</w:t>
            </w:r>
          </w:p>
          <w:p w14:paraId="63499352">
            <w:pPr>
              <w:spacing w:after="10" w:line="240" w:lineRule="auto"/>
            </w:pPr>
            <w:r>
              <w:rPr>
                <w:rFonts w:ascii="Arial" w:hAnsi="Arial"/>
                <w:sz w:val="20"/>
              </w:rPr>
              <w:t>• Train gradient boosting cho cả hai target: price và multiplier. (Hiếu)</w:t>
            </w:r>
          </w:p>
          <w:p w14:paraId="752F3FB0">
            <w:pPr>
              <w:spacing w:after="10" w:line="240" w:lineRule="auto"/>
            </w:pPr>
            <w:r>
              <w:rPr>
                <w:rFonts w:ascii="Arial" w:hAnsi="Arial"/>
                <w:sz w:val="20"/>
              </w:rPr>
              <w:t>• Chốt time-based split, metric (MAE, RMSE, MAPE) và tập lát cắt báo cáo. (cả nhóm)</w:t>
            </w:r>
          </w:p>
          <w:p w14:paraId="000B2F8C">
            <w:pPr>
              <w:spacing w:after="10" w:line="240" w:lineRule="auto"/>
            </w:pPr>
            <w:r>
              <w:rPr>
                <w:rFonts w:ascii="Arial" w:hAnsi="Arial"/>
                <w:sz w:val="20"/>
              </w:rPr>
              <w:t>• Kiểm tra leakage bằng permutation test và shift kiểm chứng. (Chiến)</w:t>
            </w:r>
          </w:p>
          <w:p w14:paraId="27EE6A31">
            <w:pPr>
              <w:spacing w:after="10" w:line="240" w:lineRule="auto"/>
            </w:pPr>
            <w:r>
              <w:rPr>
                <w:rFonts w:ascii="Arial" w:hAnsi="Arial"/>
                <w:sz w:val="20"/>
              </w:rPr>
              <w:t>• Chốt KPI đề xuất từ số thực tế, gửi mentor. (cả nhóm)</w:t>
            </w:r>
          </w:p>
        </w:tc>
        <w:tc>
          <w:tcPr>
            <w:tcW w:w="2767" w:type="dxa"/>
            <w:shd w:val="clear" w:color="auto" w:fill="EAF4F1"/>
          </w:tcPr>
          <w:p w14:paraId="5075EBBF">
            <w:pPr>
              <w:spacing w:after="10" w:line="240" w:lineRule="auto"/>
            </w:pPr>
            <w:r>
              <w:rPr>
                <w:rFonts w:ascii="Arial" w:hAnsi="Arial"/>
                <w:sz w:val="20"/>
              </w:rPr>
              <w:t>• week2_report.md</w:t>
            </w:r>
          </w:p>
          <w:p w14:paraId="588B0701">
            <w:pPr>
              <w:spacing w:after="10" w:line="240" w:lineRule="auto"/>
            </w:pPr>
            <w:r>
              <w:rPr>
                <w:rFonts w:ascii="Arial" w:hAnsi="Arial"/>
                <w:sz w:val="20"/>
              </w:rPr>
              <w:t>• baseline_results.csv</w:t>
            </w:r>
          </w:p>
          <w:p w14:paraId="79B6D270">
            <w:pPr>
              <w:spacing w:after="10" w:line="240" w:lineRule="auto"/>
            </w:pPr>
            <w:r>
              <w:rPr>
                <w:rFonts w:ascii="Arial" w:hAnsi="Arial"/>
                <w:sz w:val="20"/>
              </w:rPr>
              <w:t>• model_v1/</w:t>
            </w:r>
          </w:p>
          <w:p w14:paraId="18C42F9E">
            <w:pPr>
              <w:spacing w:after="10" w:line="240" w:lineRule="auto"/>
            </w:pPr>
            <w:r>
              <w:rPr>
                <w:rFonts w:ascii="Arial" w:hAnsi="Arial"/>
                <w:sz w:val="20"/>
              </w:rPr>
              <w:t>• eval_protocol.md</w:t>
            </w:r>
          </w:p>
          <w:p w14:paraId="3BF58A95">
            <w:pPr>
              <w:spacing w:after="10" w:line="240" w:lineRule="auto"/>
            </w:pPr>
            <w:r>
              <w:rPr>
                <w:rFonts w:ascii="Arial" w:hAnsi="Arial"/>
                <w:sz w:val="20"/>
              </w:rPr>
              <w:t>• leakage_check.md</w:t>
            </w:r>
          </w:p>
          <w:p w14:paraId="68CD0526">
            <w:pPr>
              <w:spacing w:after="10" w:line="240" w:lineRule="auto"/>
            </w:pPr>
            <w:r>
              <w:rPr>
                <w:rFonts w:ascii="Arial" w:hAnsi="Arial"/>
                <w:sz w:val="20"/>
              </w:rPr>
              <w:t>• kpi_proposal.md</w:t>
            </w:r>
          </w:p>
        </w:tc>
        <w:tc>
          <w:tcPr>
            <w:tcW w:w="5227" w:type="dxa"/>
            <w:shd w:val="clear" w:color="auto" w:fill="EAF4F1"/>
          </w:tcPr>
          <w:p w14:paraId="0E9500EC">
            <w:pPr>
              <w:spacing w:after="10" w:line="240" w:lineRule="auto"/>
            </w:pPr>
            <w:r>
              <w:rPr>
                <w:rFonts w:ascii="Arial" w:hAnsi="Arial"/>
                <w:sz w:val="20"/>
              </w:rPr>
              <w:t>• Mọi kết quả ghi rõ config, seed, dataset version.</w:t>
            </w:r>
          </w:p>
          <w:p w14:paraId="468C8298">
            <w:pPr>
              <w:spacing w:after="10" w:line="240" w:lineRule="auto"/>
            </w:pPr>
            <w:r>
              <w:rPr>
                <w:rFonts w:ascii="Arial" w:hAnsi="Arial"/>
                <w:sz w:val="20"/>
              </w:rPr>
              <w:t>• Model v1 có bảng số so với baseline cho cả price và multiplier.</w:t>
            </w:r>
          </w:p>
          <w:p w14:paraId="2D3301C2">
            <w:pPr>
              <w:spacing w:after="10" w:line="240" w:lineRule="auto"/>
            </w:pPr>
            <w:r>
              <w:rPr>
                <w:rFonts w:ascii="Arial" w:hAnsi="Arial"/>
                <w:sz w:val="20"/>
              </w:rPr>
              <w:t>• Không có leakage, kiểm chứng được ghi lại.</w:t>
            </w:r>
          </w:p>
          <w:p w14:paraId="36F889B0">
            <w:pPr>
              <w:spacing w:after="10" w:line="240" w:lineRule="auto"/>
            </w:pPr>
            <w:r>
              <w:rPr>
                <w:rFonts w:ascii="Arial" w:hAnsi="Arial"/>
                <w:sz w:val="20"/>
              </w:rPr>
              <w:t>• KPI proposal đã gửi mentor, phản hồi theo dõi như một gate.</w:t>
            </w:r>
          </w:p>
          <w:p w14:paraId="41053A16">
            <w:pPr>
              <w:spacing w:after="10" w:line="240" w:lineRule="auto"/>
            </w:pPr>
            <w:r>
              <w:rPr>
                <w:rFonts w:ascii="Arial" w:hAnsi="Arial"/>
                <w:sz w:val="20"/>
              </w:rPr>
              <w:t>• Gate: nếu model v1 không thắng baseline, dừng thêm feature và chẩn đoán sai số trước.</w:t>
            </w:r>
          </w:p>
        </w:tc>
      </w:tr>
      <w:tr w14:paraId="4171E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Align w:val="center"/>
          </w:tcPr>
          <w:p w14:paraId="1CF1BB7A">
            <w:pPr>
              <w:spacing w:after="10" w:line="240" w:lineRule="auto"/>
              <w:jc w:val="center"/>
            </w:pPr>
            <w:r>
              <w:rPr>
                <w:rFonts w:ascii="Arial" w:hAnsi="Arial"/>
                <w:b/>
                <w:sz w:val="20"/>
              </w:rPr>
              <w:t>3</w:t>
            </w:r>
          </w:p>
          <w:p w14:paraId="0F6F6774">
            <w:pPr>
              <w:spacing w:after="10" w:line="240" w:lineRule="auto"/>
              <w:jc w:val="center"/>
            </w:pPr>
            <w:r>
              <w:rPr>
                <w:rFonts w:ascii="Arial" w:hAnsi="Arial"/>
                <w:b/>
                <w:sz w:val="20"/>
              </w:rPr>
              <w:t>(Sprint 2)</w:t>
            </w:r>
          </w:p>
        </w:tc>
        <w:tc>
          <w:tcPr>
            <w:tcW w:w="1945" w:type="dxa"/>
          </w:tcPr>
          <w:p w14:paraId="0BAF4C9F">
            <w:pPr>
              <w:spacing w:after="10" w:line="240" w:lineRule="auto"/>
            </w:pPr>
            <w:r>
              <w:rPr>
                <w:rFonts w:ascii="Arial" w:hAnsi="Arial"/>
                <w:sz w:val="20"/>
              </w:rPr>
              <w:t>Punchline: Chốt được model tốt nhất cho (ii) và biết chính xác mô hình sai ở đâu — đầu vào cho (iii).</w:t>
            </w:r>
          </w:p>
          <w:p w14:paraId="5C1C4335">
            <w:pPr>
              <w:spacing w:after="10" w:line="240" w:lineRule="auto"/>
            </w:pPr>
            <w:r>
              <w:rPr>
                <w:rFonts w:ascii="Arial" w:hAnsi="Arial"/>
                <w:sz w:val="20"/>
              </w:rPr>
              <w:t>• Hoàn thiện point forecast.</w:t>
            </w:r>
          </w:p>
          <w:p w14:paraId="7BF84953">
            <w:pPr>
              <w:spacing w:after="10" w:line="240" w:lineRule="auto"/>
            </w:pPr>
            <w:r>
              <w:rPr>
                <w:rFonts w:ascii="Arial" w:hAnsi="Arial"/>
                <w:sz w:val="20"/>
              </w:rPr>
              <w:t>• Trả lời: cái gì quyết định độ bất định?</w:t>
            </w:r>
          </w:p>
        </w:tc>
        <w:tc>
          <w:tcPr>
            <w:tcW w:w="4966" w:type="dxa"/>
          </w:tcPr>
          <w:p w14:paraId="4B9EC54E">
            <w:pPr>
              <w:spacing w:after="10" w:line="240" w:lineRule="auto"/>
            </w:pPr>
            <w:r>
              <w:rPr>
                <w:rFonts w:ascii="Arial" w:hAnsi="Arial"/>
                <w:sz w:val="20"/>
              </w:rPr>
              <w:t>• So sánh có kiểm soát các model trên cùng test set; thử ensemble nếu sai số bổ trợ nhau. (Hiếu)</w:t>
            </w:r>
          </w:p>
          <w:p w14:paraId="2033F523">
            <w:pPr>
              <w:spacing w:after="10" w:line="240" w:lineRule="auto"/>
            </w:pPr>
            <w:r>
              <w:rPr>
                <w:rFonts w:ascii="Arial" w:hAnsi="Arial"/>
                <w:sz w:val="20"/>
              </w:rPr>
              <w:t>• Ablation: bỏ weather / lịch sử giá / route để đo đóng góp từng nhóm feature. (Hiếu)</w:t>
            </w:r>
          </w:p>
          <w:p w14:paraId="5DE4D4CE">
            <w:pPr>
              <w:spacing w:after="10" w:line="240" w:lineRule="auto"/>
            </w:pPr>
            <w:r>
              <w:rPr>
                <w:rFonts w:ascii="Arial" w:hAnsi="Arial"/>
                <w:sz w:val="20"/>
              </w:rPr>
              <w:t>• Phân tích sai số theo τ và theo lát cắt: cao điểm, thời tiết xấu, surge, route hiếm. (Hiếu)</w:t>
            </w:r>
          </w:p>
          <w:p w14:paraId="58F65992">
            <w:pPr>
              <w:spacing w:after="10" w:line="240" w:lineRule="auto"/>
            </w:pPr>
            <w:r>
              <w:rPr>
                <w:rFonts w:ascii="Arial" w:hAnsi="Arial"/>
                <w:sz w:val="20"/>
              </w:rPr>
              <w:t>• EDA (iii) — Chiến: residual variance thay đổi theo feature nào, đặc biệt theo observation age.</w:t>
            </w:r>
          </w:p>
          <w:p w14:paraId="5F6A910E">
            <w:pPr>
              <w:spacing w:after="10" w:line="240" w:lineRule="auto"/>
            </w:pPr>
            <w:r>
              <w:rPr>
                <w:rFonts w:ascii="Arial" w:hAnsi="Arial"/>
                <w:sz w:val="20"/>
              </w:rPr>
              <w:t>• Chốt model dùng tiếp cho phần uncertainty. (cả nhóm)</w:t>
            </w:r>
          </w:p>
        </w:tc>
        <w:tc>
          <w:tcPr>
            <w:tcW w:w="2767" w:type="dxa"/>
          </w:tcPr>
          <w:p w14:paraId="5315CBA4">
            <w:pPr>
              <w:spacing w:after="10" w:line="240" w:lineRule="auto"/>
            </w:pPr>
            <w:r>
              <w:rPr>
                <w:rFonts w:ascii="Arial" w:hAnsi="Arial"/>
                <w:sz w:val="20"/>
              </w:rPr>
              <w:t>• week3_report.md</w:t>
            </w:r>
          </w:p>
          <w:p w14:paraId="7DB32A33">
            <w:pPr>
              <w:spacing w:after="10" w:line="240" w:lineRule="auto"/>
            </w:pPr>
            <w:r>
              <w:rPr>
                <w:rFonts w:ascii="Arial" w:hAnsi="Arial"/>
                <w:sz w:val="20"/>
              </w:rPr>
              <w:t>• model_comparison.md</w:t>
            </w:r>
          </w:p>
          <w:p w14:paraId="22E4271A">
            <w:pPr>
              <w:spacing w:after="10" w:line="240" w:lineRule="auto"/>
            </w:pPr>
            <w:r>
              <w:rPr>
                <w:rFonts w:ascii="Arial" w:hAnsi="Arial"/>
                <w:sz w:val="20"/>
              </w:rPr>
              <w:t>• ablation_report.md</w:t>
            </w:r>
          </w:p>
          <w:p w14:paraId="4099B823">
            <w:pPr>
              <w:spacing w:after="10" w:line="240" w:lineRule="auto"/>
            </w:pPr>
            <w:r>
              <w:rPr>
                <w:rFonts w:ascii="Arial" w:hAnsi="Arial"/>
                <w:sz w:val="20"/>
              </w:rPr>
              <w:t>• error_analysis_by_slice.md</w:t>
            </w:r>
          </w:p>
          <w:p w14:paraId="48161322">
            <w:pPr>
              <w:spacing w:after="10" w:line="240" w:lineRule="auto"/>
            </w:pPr>
            <w:r>
              <w:rPr>
                <w:rFonts w:ascii="Arial" w:hAnsi="Arial"/>
                <w:sz w:val="20"/>
              </w:rPr>
              <w:t>• uncertainty_drivers_eda.md</w:t>
            </w:r>
          </w:p>
          <w:p w14:paraId="226D47B7">
            <w:pPr>
              <w:spacing w:after="10" w:line="240" w:lineRule="auto"/>
            </w:pPr>
            <w:r>
              <w:rPr>
                <w:rFonts w:ascii="Arial" w:hAnsi="Arial"/>
                <w:sz w:val="20"/>
              </w:rPr>
              <w:t>• model_v2/</w:t>
            </w:r>
          </w:p>
        </w:tc>
        <w:tc>
          <w:tcPr>
            <w:tcW w:w="5227" w:type="dxa"/>
          </w:tcPr>
          <w:p w14:paraId="5EC48CE5">
            <w:pPr>
              <w:spacing w:after="10" w:line="240" w:lineRule="auto"/>
            </w:pPr>
            <w:r>
              <w:rPr>
                <w:rFonts w:ascii="Arial" w:hAnsi="Arial"/>
                <w:sz w:val="20"/>
              </w:rPr>
              <w:t>• Bảng so sánh đầy đủ, nêu rõ model thắng và vì sao.</w:t>
            </w:r>
          </w:p>
          <w:p w14:paraId="6D4DAA24">
            <w:pPr>
              <w:spacing w:after="10" w:line="240" w:lineRule="auto"/>
            </w:pPr>
            <w:r>
              <w:rPr>
                <w:rFonts w:ascii="Arial" w:hAnsi="Arial"/>
                <w:sz w:val="20"/>
              </w:rPr>
              <w:t>• Ablation lượng hóa đóng góp của weather, lịch sử giá và route.</w:t>
            </w:r>
          </w:p>
          <w:p w14:paraId="4CFE1271">
            <w:pPr>
              <w:spacing w:after="10" w:line="240" w:lineRule="auto"/>
            </w:pPr>
            <w:r>
              <w:rPr>
                <w:rFonts w:ascii="Arial" w:hAnsi="Arial"/>
                <w:sz w:val="20"/>
              </w:rPr>
              <w:t>• Chốt tối thiểu 3 biến dự báo được độ bất định.</w:t>
            </w:r>
          </w:p>
          <w:p w14:paraId="292B2741">
            <w:pPr>
              <w:spacing w:after="10" w:line="240" w:lineRule="auto"/>
            </w:pPr>
            <w:r>
              <w:rPr>
                <w:rFonts w:ascii="Arial" w:hAnsi="Arial"/>
                <w:sz w:val="20"/>
              </w:rPr>
              <w:t>• Gate: model chốt phải đạt KPI MAE; nếu không, thu hẹp scope target và ghi rõ giới hạn.</w:t>
            </w:r>
          </w:p>
          <w:p w14:paraId="4FA55B2F">
            <w:pPr>
              <w:spacing w:after="10" w:line="240" w:lineRule="auto"/>
            </w:pPr>
            <w:r>
              <w:rPr>
                <w:rFonts w:ascii="Arial" w:hAnsi="Arial"/>
                <w:sz w:val="20"/>
              </w:rPr>
              <w:t>• Gate: nếu chưa chốt được model, cắt ensemble và sang (iii) ngay để không dồn rủi ro về cuối.</w:t>
            </w:r>
          </w:p>
        </w:tc>
      </w:tr>
      <w:tr w14:paraId="0F124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shd w:val="clear" w:color="auto" w:fill="EAF4F1"/>
            <w:vAlign w:val="center"/>
          </w:tcPr>
          <w:p w14:paraId="67B1AC7F">
            <w:pPr>
              <w:spacing w:after="10" w:line="240" w:lineRule="auto"/>
              <w:jc w:val="center"/>
            </w:pPr>
            <w:r>
              <w:rPr>
                <w:rFonts w:ascii="Arial" w:hAnsi="Arial"/>
                <w:b/>
                <w:sz w:val="20"/>
              </w:rPr>
              <w:t>4</w:t>
            </w:r>
          </w:p>
          <w:p w14:paraId="0ECF2405">
            <w:pPr>
              <w:spacing w:after="10" w:line="240" w:lineRule="auto"/>
              <w:jc w:val="center"/>
            </w:pPr>
            <w:r>
              <w:rPr>
                <w:rFonts w:ascii="Arial" w:hAnsi="Arial"/>
                <w:b/>
                <w:sz w:val="20"/>
              </w:rPr>
              <w:t>(Sprint 2)</w:t>
            </w:r>
          </w:p>
        </w:tc>
        <w:tc>
          <w:tcPr>
            <w:tcW w:w="1945" w:type="dxa"/>
            <w:shd w:val="clear" w:color="auto" w:fill="EAF4F1"/>
          </w:tcPr>
          <w:p w14:paraId="4D702D46">
            <w:pPr>
              <w:spacing w:after="10" w:line="240" w:lineRule="auto"/>
            </w:pPr>
            <w:r>
              <w:rPr>
                <w:rFonts w:ascii="Arial" w:hAnsi="Arial"/>
                <w:sz w:val="20"/>
              </w:rPr>
              <w:t>Punchline: Mô hình không còn xuất một con số mà xuất một khoảng — 80% PI đầu tiên có coverage đo được.</w:t>
            </w:r>
          </w:p>
          <w:p w14:paraId="096E8790">
            <w:pPr>
              <w:spacing w:after="10" w:line="240" w:lineRule="auto"/>
            </w:pPr>
            <w:r>
              <w:rPr>
                <w:rFonts w:ascii="Arial" w:hAnsi="Arial"/>
                <w:sz w:val="20"/>
              </w:rPr>
              <w:t>• Khởi động cấu phần (iii).</w:t>
            </w:r>
          </w:p>
          <w:p w14:paraId="470836E0">
            <w:pPr>
              <w:spacing w:after="10" w:line="240" w:lineRule="auto"/>
            </w:pPr>
            <w:r>
              <w:rPr>
                <w:rFonts w:ascii="Arial" w:hAnsi="Arial"/>
                <w:sz w:val="20"/>
              </w:rPr>
              <w:t>• So sánh sòng phẳng các hướng UQ.</w:t>
            </w:r>
          </w:p>
        </w:tc>
        <w:tc>
          <w:tcPr>
            <w:tcW w:w="4966" w:type="dxa"/>
            <w:shd w:val="clear" w:color="auto" w:fill="EAF4F1"/>
          </w:tcPr>
          <w:p w14:paraId="50F993FB">
            <w:pPr>
              <w:spacing w:after="10" w:line="240" w:lineRule="auto"/>
            </w:pPr>
            <w:r>
              <w:rPr>
                <w:rFonts w:ascii="Arial" w:hAnsi="Arial"/>
                <w:sz w:val="20"/>
              </w:rPr>
              <w:t>• Quantile regression (pinball loss) cho các mức 10/50/90. (Chiến)</w:t>
            </w:r>
          </w:p>
          <w:p w14:paraId="7D8C55DA">
            <w:pPr>
              <w:spacing w:after="10" w:line="240" w:lineRule="auto"/>
            </w:pPr>
            <w:r>
              <w:rPr>
                <w:rFonts w:ascii="Arial" w:hAnsi="Arial"/>
                <w:sz w:val="20"/>
              </w:rPr>
              <w:t>• Split conformal prediction trên residual của model chốt. (Chiến)</w:t>
            </w:r>
          </w:p>
          <w:p w14:paraId="0A8AF382">
            <w:pPr>
              <w:spacing w:after="10" w:line="240" w:lineRule="auto"/>
            </w:pPr>
            <w:r>
              <w:rPr>
                <w:rFonts w:ascii="Arial" w:hAnsi="Arial"/>
                <w:sz w:val="20"/>
              </w:rPr>
              <w:t>• Ensemble/bootstrap interval làm đối chứng. (Hiếu support)</w:t>
            </w:r>
          </w:p>
          <w:p w14:paraId="1F96DE2E">
            <w:pPr>
              <w:spacing w:after="10" w:line="240" w:lineRule="auto"/>
            </w:pPr>
            <w:r>
              <w:rPr>
                <w:rFonts w:ascii="Arial" w:hAnsi="Arial"/>
                <w:sz w:val="20"/>
              </w:rPr>
              <w:t>• Calibration set tách biệt theo thời gian, không trùng train và test. (Chiến)</w:t>
            </w:r>
          </w:p>
          <w:p w14:paraId="2FC01AA8">
            <w:pPr>
              <w:spacing w:after="10" w:line="240" w:lineRule="auto"/>
            </w:pPr>
            <w:r>
              <w:rPr>
                <w:rFonts w:ascii="Arial" w:hAnsi="Arial"/>
                <w:sz w:val="20"/>
              </w:rPr>
              <w:t>• Đo coverage, width, pinball loss, CRPS; vẽ reliability diagram. (Chiến)</w:t>
            </w:r>
          </w:p>
        </w:tc>
        <w:tc>
          <w:tcPr>
            <w:tcW w:w="2767" w:type="dxa"/>
            <w:shd w:val="clear" w:color="auto" w:fill="EAF4F1"/>
          </w:tcPr>
          <w:p w14:paraId="49031693">
            <w:pPr>
              <w:spacing w:after="10" w:line="240" w:lineRule="auto"/>
            </w:pPr>
            <w:r>
              <w:rPr>
                <w:rFonts w:ascii="Arial" w:hAnsi="Arial"/>
                <w:sz w:val="20"/>
              </w:rPr>
              <w:t>• week4_report.md</w:t>
            </w:r>
          </w:p>
          <w:p w14:paraId="52630ABE">
            <w:pPr>
              <w:spacing w:after="10" w:line="240" w:lineRule="auto"/>
            </w:pPr>
            <w:r>
              <w:rPr>
                <w:rFonts w:ascii="Arial" w:hAnsi="Arial"/>
                <w:sz w:val="20"/>
              </w:rPr>
              <w:t>• uncertainty_module/</w:t>
            </w:r>
          </w:p>
          <w:p w14:paraId="5E5DBB14">
            <w:pPr>
              <w:spacing w:after="10" w:line="240" w:lineRule="auto"/>
            </w:pPr>
            <w:r>
              <w:rPr>
                <w:rFonts w:ascii="Arial" w:hAnsi="Arial"/>
                <w:sz w:val="20"/>
              </w:rPr>
              <w:t>• calibration_split.md</w:t>
            </w:r>
          </w:p>
          <w:p w14:paraId="0353CE5C">
            <w:pPr>
              <w:spacing w:after="10" w:line="240" w:lineRule="auto"/>
            </w:pPr>
            <w:r>
              <w:rPr>
                <w:rFonts w:ascii="Arial" w:hAnsi="Arial"/>
                <w:sz w:val="20"/>
              </w:rPr>
              <w:t>• uncertainty_results.csv</w:t>
            </w:r>
          </w:p>
          <w:p w14:paraId="46BA9941">
            <w:pPr>
              <w:spacing w:after="10" w:line="240" w:lineRule="auto"/>
            </w:pPr>
            <w:r>
              <w:rPr>
                <w:rFonts w:ascii="Arial" w:hAnsi="Arial"/>
                <w:sz w:val="20"/>
              </w:rPr>
              <w:t>• reliability_diagrams/</w:t>
            </w:r>
          </w:p>
          <w:p w14:paraId="3D0AABEA">
            <w:pPr>
              <w:spacing w:after="10" w:line="240" w:lineRule="auto"/>
            </w:pPr>
            <w:r>
              <w:rPr>
                <w:rFonts w:ascii="Arial" w:hAnsi="Arial"/>
                <w:sz w:val="20"/>
              </w:rPr>
              <w:t>• uq_comparison.md</w:t>
            </w:r>
          </w:p>
        </w:tc>
        <w:tc>
          <w:tcPr>
            <w:tcW w:w="5227" w:type="dxa"/>
            <w:shd w:val="clear" w:color="auto" w:fill="EAF4F1"/>
          </w:tcPr>
          <w:p w14:paraId="7E9BC4B4">
            <w:pPr>
              <w:spacing w:after="10" w:line="240" w:lineRule="auto"/>
            </w:pPr>
            <w:r>
              <w:rPr>
                <w:rFonts w:ascii="Arial" w:hAnsi="Arial"/>
                <w:sz w:val="20"/>
              </w:rPr>
              <w:t>• Calibration set tách biệt theo thời gian, có kiểm chứng.</w:t>
            </w:r>
          </w:p>
          <w:p w14:paraId="0A70D8EC">
            <w:pPr>
              <w:spacing w:after="10" w:line="240" w:lineRule="auto"/>
            </w:pPr>
            <w:r>
              <w:rPr>
                <w:rFonts w:ascii="Arial" w:hAnsi="Arial"/>
                <w:sz w:val="20"/>
              </w:rPr>
              <w:t>• Cả 3 phương pháp có số coverage và width trên cùng test set.</w:t>
            </w:r>
          </w:p>
          <w:p w14:paraId="5F9808D1">
            <w:pPr>
              <w:spacing w:after="10" w:line="240" w:lineRule="auto"/>
            </w:pPr>
            <w:r>
              <w:rPr>
                <w:rFonts w:ascii="Arial" w:hAnsi="Arial"/>
                <w:sz w:val="20"/>
              </w:rPr>
              <w:t>• Coverage của 80% và 90% PI sai lệch ≤3 điểm phần trăm ở tối thiểu một phương pháp.</w:t>
            </w:r>
          </w:p>
          <w:p w14:paraId="25D1C889">
            <w:pPr>
              <w:spacing w:after="10" w:line="240" w:lineRule="auto"/>
            </w:pPr>
            <w:r>
              <w:rPr>
                <w:rFonts w:ascii="Arial" w:hAnsi="Arial"/>
                <w:sz w:val="20"/>
              </w:rPr>
              <w:t>• Output đọc được ở dạng nghiệp vụ, ví dụ 80% PI: [17.20, 20.60].</w:t>
            </w:r>
          </w:p>
          <w:p w14:paraId="3305119A">
            <w:pPr>
              <w:spacing w:after="10" w:line="240" w:lineRule="auto"/>
            </w:pPr>
            <w:r>
              <w:rPr>
                <w:rFonts w:ascii="Arial" w:hAnsi="Arial"/>
                <w:sz w:val="20"/>
              </w:rPr>
              <w:t>• Gate: nếu không phương pháp nào đạt, ưu tiên conformal và báo cáo trung thực mức sai lệch.</w:t>
            </w:r>
          </w:p>
        </w:tc>
      </w:tr>
      <w:tr w14:paraId="549A5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vAlign w:val="center"/>
          </w:tcPr>
          <w:p w14:paraId="2AF9CBF7">
            <w:pPr>
              <w:spacing w:after="10" w:line="240" w:lineRule="auto"/>
              <w:jc w:val="center"/>
            </w:pPr>
            <w:r>
              <w:rPr>
                <w:rFonts w:ascii="Arial" w:hAnsi="Arial"/>
                <w:b/>
                <w:sz w:val="20"/>
              </w:rPr>
              <w:t>5</w:t>
            </w:r>
          </w:p>
          <w:p w14:paraId="67335D7A">
            <w:pPr>
              <w:spacing w:after="10" w:line="240" w:lineRule="auto"/>
              <w:jc w:val="center"/>
            </w:pPr>
            <w:r>
              <w:rPr>
                <w:rFonts w:ascii="Arial" w:hAnsi="Arial"/>
                <w:b/>
                <w:sz w:val="20"/>
              </w:rPr>
              <w:t>(Sprint 3)</w:t>
            </w:r>
          </w:p>
        </w:tc>
        <w:tc>
          <w:tcPr>
            <w:tcW w:w="1945" w:type="dxa"/>
          </w:tcPr>
          <w:p w14:paraId="0BFCF9D1">
            <w:pPr>
              <w:spacing w:after="10" w:line="240" w:lineRule="auto"/>
            </w:pPr>
            <w:r>
              <w:rPr>
                <w:rFonts w:ascii="Arial" w:hAnsi="Arial"/>
                <w:sz w:val="20"/>
              </w:rPr>
              <w:t>Punchline: Interval nới đúng chỗ — rộng ở tình huống khó, hẹp ở tình huống dễ — và có ngưỡng cụ thể để pricing algo biết khi nào được tin tín hiệu giá đối thủ.</w:t>
            </w:r>
          </w:p>
        </w:tc>
        <w:tc>
          <w:tcPr>
            <w:tcW w:w="4966" w:type="dxa"/>
          </w:tcPr>
          <w:p w14:paraId="66BB53B7">
            <w:pPr>
              <w:spacing w:after="10" w:line="240" w:lineRule="auto"/>
            </w:pPr>
            <w:r>
              <w:rPr>
                <w:rFonts w:ascii="Arial" w:hAnsi="Arial"/>
                <w:sz w:val="20"/>
              </w:rPr>
              <w:t>• Adaptive/Mondrian conformal: hiệu chuẩn theo nhóm (cao điểm, thời tiết, service, mật độ route, observation age). (Chiến)</w:t>
            </w:r>
          </w:p>
          <w:p w14:paraId="4F26151C">
            <w:pPr>
              <w:spacing w:after="10" w:line="240" w:lineRule="auto"/>
            </w:pPr>
            <w:r>
              <w:rPr>
                <w:rFonts w:ascii="Arial" w:hAnsi="Arial"/>
                <w:sz w:val="20"/>
              </w:rPr>
              <w:t>• Đo conditional coverage theo từng nhóm, không chỉ marginal. (Chiến)</w:t>
            </w:r>
          </w:p>
          <w:p w14:paraId="0C02CF3E">
            <w:pPr>
              <w:spacing w:after="10" w:line="240" w:lineRule="auto"/>
            </w:pPr>
            <w:r>
              <w:rPr>
                <w:rFonts w:ascii="Arial" w:hAnsi="Arial"/>
                <w:sz w:val="20"/>
              </w:rPr>
              <w:t>• Stress test: cao điểm, mưa/tuyết, surge cao, route ít dữ liệu, τ lớn hơn thiết kế. (Hiếu)</w:t>
            </w:r>
          </w:p>
          <w:p w14:paraId="106B2C93">
            <w:pPr>
              <w:spacing w:after="10" w:line="240" w:lineRule="auto"/>
            </w:pPr>
            <w:r>
              <w:rPr>
                <w:rFonts w:ascii="Arial" w:hAnsi="Arial"/>
                <w:sz w:val="20"/>
              </w:rPr>
              <w:t>• Xây decision rule và mô phỏng tác động: tỉ lệ tín hiệu dùng được và sai số khi dùng. (cả nhóm)</w:t>
            </w:r>
          </w:p>
          <w:p w14:paraId="6F0644C9">
            <w:pPr>
              <w:spacing w:after="10" w:line="240" w:lineRule="auto"/>
            </w:pPr>
            <w:r>
              <w:rPr>
                <w:rFonts w:ascii="Arial" w:hAnsi="Arial"/>
                <w:sz w:val="20"/>
              </w:rPr>
              <w:t>• Đo decision latency của toàn pipeline. (Hiếu)</w:t>
            </w:r>
          </w:p>
        </w:tc>
        <w:tc>
          <w:tcPr>
            <w:tcW w:w="2767" w:type="dxa"/>
          </w:tcPr>
          <w:p w14:paraId="5C6179CF">
            <w:pPr>
              <w:spacing w:after="10" w:line="240" w:lineRule="auto"/>
            </w:pPr>
            <w:r>
              <w:rPr>
                <w:rFonts w:ascii="Arial" w:hAnsi="Arial"/>
                <w:sz w:val="20"/>
              </w:rPr>
              <w:t>• week5_report.md</w:t>
            </w:r>
          </w:p>
          <w:p w14:paraId="53F3E608">
            <w:pPr>
              <w:spacing w:after="10" w:line="240" w:lineRule="auto"/>
            </w:pPr>
            <w:r>
              <w:rPr>
                <w:rFonts w:ascii="Arial" w:hAnsi="Arial"/>
                <w:sz w:val="20"/>
              </w:rPr>
              <w:t>• adaptive_conformal/</w:t>
            </w:r>
          </w:p>
          <w:p w14:paraId="7CEB7551">
            <w:pPr>
              <w:spacing w:after="10" w:line="240" w:lineRule="auto"/>
            </w:pPr>
            <w:r>
              <w:rPr>
                <w:rFonts w:ascii="Arial" w:hAnsi="Arial"/>
                <w:sz w:val="20"/>
              </w:rPr>
              <w:t>• conditional_coverage_report.md</w:t>
            </w:r>
          </w:p>
          <w:p w14:paraId="44A8679A">
            <w:pPr>
              <w:spacing w:after="10" w:line="240" w:lineRule="auto"/>
            </w:pPr>
            <w:r>
              <w:rPr>
                <w:rFonts w:ascii="Arial" w:hAnsi="Arial"/>
                <w:sz w:val="20"/>
              </w:rPr>
              <w:t>• stress_test_report.md</w:t>
            </w:r>
          </w:p>
          <w:p w14:paraId="51990F20">
            <w:pPr>
              <w:spacing w:after="10" w:line="240" w:lineRule="auto"/>
            </w:pPr>
            <w:r>
              <w:rPr>
                <w:rFonts w:ascii="Arial" w:hAnsi="Arial"/>
                <w:sz w:val="20"/>
              </w:rPr>
              <w:t>• decision_rule.md</w:t>
            </w:r>
          </w:p>
          <w:p w14:paraId="737BE7A9">
            <w:pPr>
              <w:spacing w:after="10" w:line="240" w:lineRule="auto"/>
            </w:pPr>
            <w:r>
              <w:rPr>
                <w:rFonts w:ascii="Arial" w:hAnsi="Arial"/>
                <w:sz w:val="20"/>
              </w:rPr>
              <w:t>• latency_report.md</w:t>
            </w:r>
          </w:p>
        </w:tc>
        <w:tc>
          <w:tcPr>
            <w:tcW w:w="5227" w:type="dxa"/>
          </w:tcPr>
          <w:p w14:paraId="5F135E84">
            <w:pPr>
              <w:spacing w:after="10" w:line="240" w:lineRule="auto"/>
            </w:pPr>
            <w:r>
              <w:rPr>
                <w:rFonts w:ascii="Arial" w:hAnsi="Arial"/>
                <w:sz w:val="20"/>
              </w:rPr>
              <w:t>• Conditional coverage báo cáo cho mọi nhóm, kèm số mẫu từng nhóm.</w:t>
            </w:r>
          </w:p>
          <w:p w14:paraId="0F71B1C4">
            <w:pPr>
              <w:spacing w:after="10" w:line="240" w:lineRule="auto"/>
            </w:pPr>
            <w:r>
              <w:rPr>
                <w:rFonts w:ascii="Arial" w:hAnsi="Arial"/>
                <w:sz w:val="20"/>
              </w:rPr>
              <w:t>• Chứng minh bằng số rằng interval rộng hơn ở nhóm khó, hẹp hơn ở nhóm dễ.</w:t>
            </w:r>
          </w:p>
          <w:p w14:paraId="43DA0B80">
            <w:pPr>
              <w:spacing w:after="10" w:line="240" w:lineRule="auto"/>
            </w:pPr>
            <w:r>
              <w:rPr>
                <w:rFonts w:ascii="Arial" w:hAnsi="Arial"/>
                <w:sz w:val="20"/>
              </w:rPr>
              <w:t>• Stress test báo cáo toàn bộ kịch bản, không chọn riêng ngày tốt nhất.</w:t>
            </w:r>
          </w:p>
          <w:p w14:paraId="0CAF5916">
            <w:pPr>
              <w:spacing w:after="10" w:line="240" w:lineRule="auto"/>
            </w:pPr>
            <w:r>
              <w:rPr>
                <w:rFonts w:ascii="Arial" w:hAnsi="Arial"/>
                <w:sz w:val="20"/>
              </w:rPr>
              <w:t>• Decision rule có ngưỡng cụ thể và căn cứ định lượng.</w:t>
            </w:r>
          </w:p>
          <w:p w14:paraId="5D5CFFFB">
            <w:pPr>
              <w:spacing w:after="10" w:line="240" w:lineRule="auto"/>
            </w:pPr>
            <w:r>
              <w:rPr>
                <w:rFonts w:ascii="Arial" w:hAnsi="Arial"/>
                <w:sz w:val="20"/>
              </w:rPr>
              <w:t>• Gate: nếu conditional coverage hỏng ở nhóm quan trọng, hạ claim xuống mức marginal và ghi rõ điều kiện.</w:t>
            </w:r>
          </w:p>
        </w:tc>
      </w:tr>
      <w:tr w14:paraId="49E19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8" w:type="dxa"/>
            <w:shd w:val="clear" w:color="auto" w:fill="EAF4F1"/>
            <w:vAlign w:val="center"/>
          </w:tcPr>
          <w:p w14:paraId="3BFF3B62">
            <w:pPr>
              <w:spacing w:after="10" w:line="240" w:lineRule="auto"/>
              <w:jc w:val="center"/>
            </w:pPr>
            <w:r>
              <w:rPr>
                <w:rFonts w:ascii="Arial" w:hAnsi="Arial"/>
                <w:b/>
                <w:sz w:val="20"/>
              </w:rPr>
              <w:t>6</w:t>
            </w:r>
          </w:p>
          <w:p w14:paraId="534CFAF4">
            <w:pPr>
              <w:spacing w:after="10" w:line="240" w:lineRule="auto"/>
              <w:jc w:val="center"/>
            </w:pPr>
            <w:r>
              <w:rPr>
                <w:rFonts w:ascii="Arial" w:hAnsi="Arial"/>
                <w:b/>
                <w:sz w:val="20"/>
              </w:rPr>
              <w:t>(Sprint 3)</w:t>
            </w:r>
          </w:p>
        </w:tc>
        <w:tc>
          <w:tcPr>
            <w:tcW w:w="1945" w:type="dxa"/>
            <w:shd w:val="clear" w:color="auto" w:fill="EAF4F1"/>
          </w:tcPr>
          <w:p w14:paraId="28BE7125">
            <w:pPr>
              <w:spacing w:after="10" w:line="240" w:lineRule="auto"/>
            </w:pPr>
            <w:r>
              <w:rPr>
                <w:rFonts w:ascii="Arial" w:hAnsi="Arial"/>
                <w:sz w:val="20"/>
              </w:rPr>
              <w:t>Punchline: Trả lời được câu hỏi vận hành — dự báo giá đối thủ tin được tới đâu, trong điều kiện nào, và khi nào pricing algo không nên dùng nó.</w:t>
            </w:r>
          </w:p>
        </w:tc>
        <w:tc>
          <w:tcPr>
            <w:tcW w:w="4966" w:type="dxa"/>
            <w:shd w:val="clear" w:color="auto" w:fill="EAF4F1"/>
          </w:tcPr>
          <w:p w14:paraId="28441BA0">
            <w:pPr>
              <w:spacing w:after="10" w:line="240" w:lineRule="auto"/>
            </w:pPr>
            <w:r>
              <w:rPr>
                <w:rFonts w:ascii="Arial" w:hAnsi="Arial"/>
                <w:sz w:val="20"/>
              </w:rPr>
              <w:t>• Tổng hợp trade-off: độ chính xác, độ rộng interval, tỉ lệ tín hiệu dùng được. (cả nhóm)</w:t>
            </w:r>
          </w:p>
          <w:p w14:paraId="1183AB2B">
            <w:pPr>
              <w:spacing w:after="10" w:line="240" w:lineRule="auto"/>
            </w:pPr>
            <w:r>
              <w:rPr>
                <w:rFonts w:ascii="Arial" w:hAnsi="Arial"/>
                <w:sz w:val="20"/>
              </w:rPr>
              <w:t>• Khuyến nghị go/no-go cho việc đưa tín hiệu giá đối thủ vào pricing algo. (cả nhóm)</w:t>
            </w:r>
          </w:p>
          <w:p w14:paraId="5844F7AD">
            <w:pPr>
              <w:spacing w:after="10" w:line="240" w:lineRule="auto"/>
            </w:pPr>
            <w:r>
              <w:rPr>
                <w:rFonts w:ascii="Arial" w:hAnsi="Arial"/>
                <w:sz w:val="20"/>
              </w:rPr>
              <w:t>• Đề xuất tích hợp ở mức kiến trúc, kèm yêu cầu dữ liệu và tần suất cập nhật. (Hiếu)</w:t>
            </w:r>
          </w:p>
          <w:p w14:paraId="15B21B52">
            <w:pPr>
              <w:spacing w:after="10" w:line="240" w:lineRule="auto"/>
            </w:pPr>
            <w:r>
              <w:rPr>
                <w:rFonts w:ascii="Arial" w:hAnsi="Arial"/>
                <w:sz w:val="20"/>
              </w:rPr>
              <w:t>• Nêu rõ giả định nào có thể vỡ khi chuyển từ data Boston sang bối cảnh Grab/Be. (Chiến)</w:t>
            </w:r>
          </w:p>
          <w:p w14:paraId="1CA66C2D">
            <w:pPr>
              <w:spacing w:after="10" w:line="240" w:lineRule="auto"/>
            </w:pPr>
            <w:r>
              <w:rPr>
                <w:rFonts w:ascii="Arial" w:hAnsi="Arial"/>
                <w:sz w:val="20"/>
              </w:rPr>
              <w:t>• Đóng gói bàn giao để mentor chạy trên dataset GreenSM; hoàn thiện code, report, demo. (cả nhóm)</w:t>
            </w:r>
          </w:p>
        </w:tc>
        <w:tc>
          <w:tcPr>
            <w:tcW w:w="2767" w:type="dxa"/>
            <w:shd w:val="clear" w:color="auto" w:fill="EAF4F1"/>
          </w:tcPr>
          <w:p w14:paraId="3073D3C7">
            <w:pPr>
              <w:spacing w:after="10" w:line="240" w:lineRule="auto"/>
            </w:pPr>
            <w:r>
              <w:rPr>
                <w:rFonts w:ascii="Arial" w:hAnsi="Arial"/>
                <w:sz w:val="20"/>
              </w:rPr>
              <w:t>• week6_report.md</w:t>
            </w:r>
          </w:p>
          <w:p w14:paraId="5336885C">
            <w:pPr>
              <w:spacing w:after="10" w:line="240" w:lineRule="auto"/>
            </w:pPr>
            <w:r>
              <w:rPr>
                <w:rFonts w:ascii="Arial" w:hAnsi="Arial"/>
                <w:sz w:val="20"/>
              </w:rPr>
              <w:t>• final_report.md</w:t>
            </w:r>
          </w:p>
          <w:p w14:paraId="392B7222">
            <w:pPr>
              <w:spacing w:after="10" w:line="240" w:lineRule="auto"/>
            </w:pPr>
            <w:r>
              <w:rPr>
                <w:rFonts w:ascii="Arial" w:hAnsi="Arial"/>
                <w:sz w:val="20"/>
              </w:rPr>
              <w:t>• go_no_go_recommendation.md</w:t>
            </w:r>
          </w:p>
          <w:p w14:paraId="277C45C1">
            <w:pPr>
              <w:spacing w:after="10" w:line="240" w:lineRule="auto"/>
            </w:pPr>
            <w:r>
              <w:rPr>
                <w:rFonts w:ascii="Arial" w:hAnsi="Arial"/>
                <w:sz w:val="20"/>
              </w:rPr>
              <w:t>• integration_proposal.md</w:t>
            </w:r>
          </w:p>
          <w:p w14:paraId="60BFD026">
            <w:pPr>
              <w:spacing w:after="10" w:line="240" w:lineRule="auto"/>
            </w:pPr>
            <w:r>
              <w:rPr>
                <w:rFonts w:ascii="Arial" w:hAnsi="Arial"/>
                <w:sz w:val="20"/>
              </w:rPr>
              <w:t>• limitations_and_transfer.md</w:t>
            </w:r>
          </w:p>
          <w:p w14:paraId="7385EE0D">
            <w:pPr>
              <w:spacing w:after="10" w:line="240" w:lineRule="auto"/>
            </w:pPr>
            <w:r>
              <w:rPr>
                <w:rFonts w:ascii="Arial" w:hAnsi="Arial"/>
                <w:sz w:val="20"/>
              </w:rPr>
              <w:t>• handoff_package/</w:t>
            </w:r>
          </w:p>
          <w:p w14:paraId="5BC042D6">
            <w:pPr>
              <w:spacing w:after="10" w:line="240" w:lineRule="auto"/>
            </w:pPr>
            <w:r>
              <w:rPr>
                <w:rFonts w:ascii="Arial" w:hAnsi="Arial"/>
                <w:sz w:val="20"/>
              </w:rPr>
              <w:t>• README.md, demo và source code</w:t>
            </w:r>
          </w:p>
        </w:tc>
        <w:tc>
          <w:tcPr>
            <w:tcW w:w="5227" w:type="dxa"/>
            <w:shd w:val="clear" w:color="auto" w:fill="EAF4F1"/>
          </w:tcPr>
          <w:p w14:paraId="5708D7A1">
            <w:pPr>
              <w:spacing w:after="10" w:line="240" w:lineRule="auto"/>
            </w:pPr>
            <w:r>
              <w:rPr>
                <w:rFonts w:ascii="Arial" w:hAnsi="Arial"/>
                <w:sz w:val="20"/>
              </w:rPr>
              <w:t>• Trả lời rõ: tin được tới đâu, trong điều kiện nào, khi nào không nên dùng.</w:t>
            </w:r>
          </w:p>
          <w:p w14:paraId="1303F4C2">
            <w:pPr>
              <w:spacing w:after="10" w:line="240" w:lineRule="auto"/>
            </w:pPr>
            <w:r>
              <w:rPr>
                <w:rFonts w:ascii="Arial" w:hAnsi="Arial"/>
                <w:sz w:val="20"/>
              </w:rPr>
              <w:t>• Kết luận thuộc một nhóm: sẵn sàng thử trên dữ liệu GreenSM; cần thêm dữ liệu; hoặc chưa nên dùng.</w:t>
            </w:r>
          </w:p>
          <w:p w14:paraId="6473E652">
            <w:pPr>
              <w:spacing w:after="10" w:line="240" w:lineRule="auto"/>
            </w:pPr>
            <w:r>
              <w:rPr>
                <w:rFonts w:ascii="Arial" w:hAnsi="Arial"/>
                <w:sz w:val="20"/>
              </w:rPr>
              <w:t>• Gói bàn giao chạy được trên dữ liệu có schema khác, có hướng dẫn map trường.</w:t>
            </w:r>
          </w:p>
          <w:p w14:paraId="46FA2ECB">
            <w:pPr>
              <w:spacing w:after="10" w:line="240" w:lineRule="auto"/>
            </w:pPr>
            <w:r>
              <w:rPr>
                <w:rFonts w:ascii="Arial" w:hAnsi="Arial"/>
                <w:sz w:val="20"/>
              </w:rPr>
              <w:t>• Mọi claim quan trọng có artifact hoặc evidence link.</w:t>
            </w:r>
          </w:p>
          <w:p w14:paraId="4F7135D7">
            <w:pPr>
              <w:spacing w:after="10" w:line="240" w:lineRule="auto"/>
            </w:pPr>
            <w:r>
              <w:rPr>
                <w:rFonts w:ascii="Arial" w:hAnsi="Arial"/>
                <w:sz w:val="20"/>
              </w:rPr>
              <w:t>• Gate: không claim hiệu quả trên thị trường thật vượt quá bằng chứng từ public dataset.</w:t>
            </w:r>
          </w:p>
        </w:tc>
      </w:tr>
    </w:tbl>
    <w:p w14:paraId="318931D9"/>
    <w:sectPr>
      <w:pgSz w:w="16838" w:h="11906" w:orient="landscape"/>
      <w:pgMar w:top="510" w:right="567" w:bottom="510" w:left="56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4F6DEF"/>
    <w:rsid w:val="4F4F2875"/>
    <w:rsid w:val="54CB6C6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1588</Words>
  <Characters>7040</Characters>
  <Lines>0</Lines>
  <Paragraphs>0</Paragraphs>
  <TotalTime>0</TotalTime>
  <ScaleCrop>false</ScaleCrop>
  <LinksUpToDate>false</LinksUpToDate>
  <CharactersWithSpaces>8494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Hiếu Nguyễn</cp:lastModifiedBy>
  <dcterms:modified xsi:type="dcterms:W3CDTF">2026-07-21T07:42:45Z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eyJoZGlkIjoiYjMzOWEzZWI4OTc2YjcyYmM0OWRkZTAyMTgyODI4MWIiLCJ1c2VySWQiOiI4ODEzNzE1MjAzOTU2In0=</vt:lpwstr>
  </property>
  <property fmtid="{D5CDD505-2E9C-101B-9397-08002B2CF9AE}" pid="3" name="KSOProductBuildVer">
    <vt:lpwstr>1033-12.1.0.27458</vt:lpwstr>
  </property>
  <property fmtid="{D5CDD505-2E9C-101B-9397-08002B2CF9AE}" pid="4" name="ICV">
    <vt:lpwstr>EE374A44128E4D43873F8A6D2E62184A_12</vt:lpwstr>
  </property>
</Properties>
</file>