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PAD疾病、终点与既往试验证据包</w:t>
      </w:r>
    </w:p>
    <w:p>
      <w:pPr>
        <w:jc w:val="center"/>
      </w:pPr>
      <w:r>
        <w:rPr>
          <w:b/>
          <w:color w:val="2F75B5"/>
          <w:sz w:val="22"/>
        </w:rPr>
        <w:t>AI可见：阶段1；科学证据截止2021-11-11</w:t>
      </w:r>
    </w:p>
    <w:p/>
    <w:tbl>
      <w:tblPr>
        <w:tblW w:type="auto" w:w="0"/>
        <w:jc w:val="center"/>
        <w:tblLook w:firstColumn="1" w:firstRow="1" w:lastColumn="0" w:lastRow="0" w:noHBand="0" w:noVBand="1" w:val="04A0"/>
      </w:tblPr>
      <w:tblGrid>
        <w:gridCol w:w="9972"/>
      </w:tblGrid>
      <w:tr>
        <w:tc>
          <w:tcPr>
            <w:tcW w:type="dxa" w:w="9972"/>
            <w:shd w:fill="E2F0D9"/>
          </w:tcPr>
          <w:p>
            <w:r>
              <w:rPr>
                <w:rFonts w:ascii="Noto Sans CJK SC" w:hAnsi="Noto Sans CJK SC" w:eastAsia="Noto Sans CJK SC"/>
                <w:b/>
                <w:sz w:val="20"/>
              </w:rPr>
              <w:t>证据解释：</w:t>
            </w:r>
            <w:r>
              <w:rPr>
                <w:sz w:val="20"/>
              </w:rPr>
              <w:t>资料包含直接证据、邻近证据和失败经验。AI需说明外推链条，不得按关键词机械拼接。</w:t>
            </w:r>
          </w:p>
        </w:tc>
      </w:tr>
    </w:tbl>
    <w:p/>
    <w:p>
      <w:pPr>
        <w:pStyle w:val="Heading1"/>
      </w:pPr>
      <w:r>
        <w:t>一、疾病与目标人群</w:t>
      </w:r>
    </w:p>
    <w:p>
      <w:r>
        <w:t>下肢PAD是动脉粥样硬化性疾病，可表现为典型间歇性跛行、非典型活动相关腿部症状、无症状PAD或更严重的肢体威胁性缺血。用于功能改善的药物试验应避免将临床异质性过大的亚型混为同一目标人群。</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2268"/>
            <w:vAlign w:val="center"/>
            <w:shd w:fill="2F75B5"/>
          </w:tcPr>
          <w:p>
            <w:r/>
            <w:r>
              <w:rPr>
                <w:rFonts w:ascii="Noto Sans CJK SC" w:hAnsi="Noto Sans CJK SC" w:eastAsia="Noto Sans CJK SC"/>
                <w:b/>
                <w:color w:val="FFFFFF"/>
                <w:sz w:val="17"/>
              </w:rPr>
              <w:t>设计问题</w:t>
            </w:r>
          </w:p>
        </w:tc>
        <w:tc>
          <w:tcPr>
            <w:tcW w:type="dxa" w:w="4535"/>
            <w:vAlign w:val="center"/>
            <w:shd w:fill="2F75B5"/>
          </w:tcPr>
          <w:p>
            <w:r/>
            <w:r>
              <w:rPr>
                <w:rFonts w:ascii="Noto Sans CJK SC" w:hAnsi="Noto Sans CJK SC" w:eastAsia="Noto Sans CJK SC"/>
                <w:b/>
                <w:color w:val="FFFFFF"/>
                <w:sz w:val="17"/>
              </w:rPr>
              <w:t>证据提示</w:t>
            </w:r>
          </w:p>
        </w:tc>
        <w:tc>
          <w:tcPr>
            <w:tcW w:type="dxa" w:w="3969"/>
            <w:vAlign w:val="center"/>
            <w:shd w:fill="2F75B5"/>
          </w:tcPr>
          <w:p>
            <w:r/>
            <w:r>
              <w:rPr>
                <w:rFonts w:ascii="Noto Sans CJK SC" w:hAnsi="Noto Sans CJK SC" w:eastAsia="Noto Sans CJK SC"/>
                <w:b/>
                <w:color w:val="FFFFFF"/>
                <w:sz w:val="17"/>
              </w:rPr>
              <w:t>对方案的影响</w:t>
            </w:r>
          </w:p>
        </w:tc>
      </w:tr>
      <w:tr>
        <w:tc>
          <w:tcPr>
            <w:tcW w:type="dxa" w:w="2268"/>
            <w:vAlign w:val="center"/>
          </w:tcPr>
          <w:p>
            <w:r/>
            <w:r>
              <w:rPr>
                <w:rFonts w:ascii="Noto Sans CJK SC" w:hAnsi="Noto Sans CJK SC" w:eastAsia="Noto Sans CJK SC"/>
                <w:b w:val="0"/>
                <w:sz w:val="17"/>
              </w:rPr>
              <w:t>PAD确诊</w:t>
            </w:r>
          </w:p>
        </w:tc>
        <w:tc>
          <w:tcPr>
            <w:tcW w:type="dxa" w:w="4535"/>
            <w:vAlign w:val="center"/>
          </w:tcPr>
          <w:p>
            <w:r/>
            <w:r>
              <w:rPr>
                <w:rFonts w:ascii="Noto Sans CJK SC" w:hAnsi="Noto Sans CJK SC" w:eastAsia="Noto Sans CJK SC"/>
                <w:b w:val="0"/>
                <w:sz w:val="17"/>
              </w:rPr>
              <w:t>静息ABI是疑似PAD一线诊断方法；ABI正常/边界值时可结合运动后ABI、波形或影像</w:t>
            </w:r>
          </w:p>
        </w:tc>
        <w:tc>
          <w:tcPr>
            <w:tcW w:type="dxa" w:w="3969"/>
            <w:vAlign w:val="center"/>
          </w:tcPr>
          <w:p>
            <w:r/>
            <w:r>
              <w:rPr>
                <w:rFonts w:ascii="Noto Sans CJK SC" w:hAnsi="Noto Sans CJK SC" w:eastAsia="Noto Sans CJK SC"/>
                <w:b w:val="0"/>
                <w:sz w:val="17"/>
              </w:rPr>
              <w:t>需定义ABI阈值、不可压缩血管处理和历史影像有效期</w:t>
            </w:r>
          </w:p>
        </w:tc>
      </w:tr>
      <w:tr>
        <w:tc>
          <w:tcPr>
            <w:tcW w:type="dxa" w:w="2268"/>
            <w:vAlign w:val="center"/>
            <w:shd w:fill="F2F2F2"/>
          </w:tcPr>
          <w:p>
            <w:r/>
            <w:r>
              <w:rPr>
                <w:rFonts w:ascii="Noto Sans CJK SC" w:hAnsi="Noto Sans CJK SC" w:eastAsia="Noto Sans CJK SC"/>
                <w:b w:val="0"/>
                <w:sz w:val="17"/>
              </w:rPr>
              <w:t>症状表型</w:t>
            </w:r>
          </w:p>
        </w:tc>
        <w:tc>
          <w:tcPr>
            <w:tcW w:type="dxa" w:w="4535"/>
            <w:vAlign w:val="center"/>
            <w:shd w:fill="F2F2F2"/>
          </w:tcPr>
          <w:p>
            <w:r/>
            <w:r>
              <w:rPr>
                <w:rFonts w:ascii="Noto Sans CJK SC" w:hAnsi="Noto Sans CJK SC" w:eastAsia="Noto Sans CJK SC"/>
                <w:b w:val="0"/>
                <w:sz w:val="17"/>
              </w:rPr>
              <w:t>典型IC仅占症状性PAD的一部分；其他原因也可限制步行</w:t>
            </w:r>
          </w:p>
        </w:tc>
        <w:tc>
          <w:tcPr>
            <w:tcW w:type="dxa" w:w="3969"/>
            <w:vAlign w:val="center"/>
            <w:shd w:fill="F2F2F2"/>
          </w:tcPr>
          <w:p>
            <w:r/>
            <w:r>
              <w:rPr>
                <w:rFonts w:ascii="Noto Sans CJK SC" w:hAnsi="Noto Sans CJK SC" w:eastAsia="Noto Sans CJK SC"/>
                <w:b w:val="0"/>
                <w:sz w:val="17"/>
              </w:rPr>
              <w:t>需区分PAD限制与心肺、神经、骨关节等非PAD限制</w:t>
            </w:r>
          </w:p>
        </w:tc>
      </w:tr>
      <w:tr>
        <w:tc>
          <w:tcPr>
            <w:tcW w:type="dxa" w:w="2268"/>
            <w:vAlign w:val="center"/>
          </w:tcPr>
          <w:p>
            <w:r/>
            <w:r>
              <w:rPr>
                <w:rFonts w:ascii="Noto Sans CJK SC" w:hAnsi="Noto Sans CJK SC" w:eastAsia="Noto Sans CJK SC"/>
                <w:b w:val="0"/>
                <w:sz w:val="17"/>
              </w:rPr>
              <w:t>标准治疗</w:t>
            </w:r>
          </w:p>
        </w:tc>
        <w:tc>
          <w:tcPr>
            <w:tcW w:type="dxa" w:w="4535"/>
            <w:vAlign w:val="center"/>
          </w:tcPr>
          <w:p>
            <w:r/>
            <w:r>
              <w:rPr>
                <w:rFonts w:ascii="Noto Sans CJK SC" w:hAnsi="Noto Sans CJK SC" w:eastAsia="Noto Sans CJK SC"/>
                <w:b w:val="0"/>
                <w:sz w:val="17"/>
              </w:rPr>
              <w:t>抗血小板、强化降脂、血压管理、戒烟和结构化运动是重要背景治疗</w:t>
            </w:r>
          </w:p>
        </w:tc>
        <w:tc>
          <w:tcPr>
            <w:tcW w:type="dxa" w:w="3969"/>
            <w:vAlign w:val="center"/>
          </w:tcPr>
          <w:p>
            <w:r/>
            <w:r>
              <w:rPr>
                <w:rFonts w:ascii="Noto Sans CJK SC" w:hAnsi="Noto Sans CJK SC" w:eastAsia="Noto Sans CJK SC"/>
                <w:b w:val="0"/>
                <w:sz w:val="17"/>
              </w:rPr>
              <w:t>入组前稳定期、共同干预和依从性记录影响可解释性</w:t>
            </w:r>
          </w:p>
        </w:tc>
      </w:tr>
      <w:tr>
        <w:tc>
          <w:tcPr>
            <w:tcW w:type="dxa" w:w="2268"/>
            <w:vAlign w:val="center"/>
            <w:shd w:fill="F2F2F2"/>
          </w:tcPr>
          <w:p>
            <w:r/>
            <w:r>
              <w:rPr>
                <w:rFonts w:ascii="Noto Sans CJK SC" w:hAnsi="Noto Sans CJK SC" w:eastAsia="Noto Sans CJK SC"/>
                <w:b w:val="0"/>
                <w:sz w:val="17"/>
              </w:rPr>
              <w:t>血运重建</w:t>
            </w:r>
          </w:p>
        </w:tc>
        <w:tc>
          <w:tcPr>
            <w:tcW w:type="dxa" w:w="4535"/>
            <w:vAlign w:val="center"/>
            <w:shd w:fill="F2F2F2"/>
          </w:tcPr>
          <w:p>
            <w:r/>
            <w:r>
              <w:rPr>
                <w:rFonts w:ascii="Noto Sans CJK SC" w:hAnsi="Noto Sans CJK SC" w:eastAsia="Noto Sans CJK SC"/>
                <w:b w:val="0"/>
                <w:sz w:val="17"/>
              </w:rPr>
              <w:t>计划或近期血运重建会显著改变步行能力</w:t>
            </w:r>
          </w:p>
        </w:tc>
        <w:tc>
          <w:tcPr>
            <w:tcW w:type="dxa" w:w="3969"/>
            <w:vAlign w:val="center"/>
            <w:shd w:fill="F2F2F2"/>
          </w:tcPr>
          <w:p>
            <w:r/>
            <w:r>
              <w:rPr>
                <w:rFonts w:ascii="Noto Sans CJK SC" w:hAnsi="Noto Sans CJK SC" w:eastAsia="Noto Sans CJK SC"/>
                <w:b w:val="0"/>
                <w:sz w:val="17"/>
              </w:rPr>
              <w:t>应预设排除窗口和随机后发生时的估量目标处理</w:t>
            </w:r>
          </w:p>
        </w:tc>
      </w:tr>
      <w:tr>
        <w:tc>
          <w:tcPr>
            <w:tcW w:type="dxa" w:w="2268"/>
            <w:vAlign w:val="center"/>
          </w:tcPr>
          <w:p>
            <w:r/>
            <w:r>
              <w:rPr>
                <w:rFonts w:ascii="Noto Sans CJK SC" w:hAnsi="Noto Sans CJK SC" w:eastAsia="Noto Sans CJK SC"/>
                <w:b w:val="0"/>
                <w:sz w:val="17"/>
              </w:rPr>
              <w:t>糖尿病</w:t>
            </w:r>
          </w:p>
        </w:tc>
        <w:tc>
          <w:tcPr>
            <w:tcW w:type="dxa" w:w="4535"/>
            <w:vAlign w:val="center"/>
          </w:tcPr>
          <w:p>
            <w:r/>
            <w:r>
              <w:rPr>
                <w:rFonts w:ascii="Noto Sans CJK SC" w:hAnsi="Noto Sans CJK SC" w:eastAsia="Noto Sans CJK SC"/>
                <w:b w:val="0"/>
                <w:sz w:val="17"/>
              </w:rPr>
              <w:t>目标为无糖尿病人群；HbA1c、既往诊断和降糖药使用应一致定义</w:t>
            </w:r>
          </w:p>
        </w:tc>
        <w:tc>
          <w:tcPr>
            <w:tcW w:type="dxa" w:w="3969"/>
            <w:vAlign w:val="center"/>
          </w:tcPr>
          <w:p>
            <w:r/>
            <w:r>
              <w:rPr>
                <w:rFonts w:ascii="Noto Sans CJK SC" w:hAnsi="Noto Sans CJK SC" w:eastAsia="Noto Sans CJK SC"/>
                <w:b w:val="0"/>
                <w:sz w:val="17"/>
              </w:rPr>
              <w:t>避免糖代谢改善成为主要疗效解释</w:t>
            </w:r>
          </w:p>
        </w:tc>
      </w:tr>
    </w:tbl>
    <w:p/>
    <w:p>
      <w:pPr>
        <w:pStyle w:val="Heading1"/>
      </w:pPr>
      <w:r>
        <w:t>二、候选主要终点</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2268"/>
            <w:vAlign w:val="center"/>
            <w:shd w:fill="2F75B5"/>
          </w:tcPr>
          <w:p>
            <w:r/>
            <w:r>
              <w:rPr>
                <w:rFonts w:ascii="Noto Sans CJK SC" w:hAnsi="Noto Sans CJK SC" w:eastAsia="Noto Sans CJK SC"/>
                <w:b/>
                <w:color w:val="FFFFFF"/>
                <w:sz w:val="17"/>
              </w:rPr>
              <w:t>终点</w:t>
            </w:r>
          </w:p>
        </w:tc>
        <w:tc>
          <w:tcPr>
            <w:tcW w:type="dxa" w:w="4252"/>
            <w:vAlign w:val="center"/>
            <w:shd w:fill="2F75B5"/>
          </w:tcPr>
          <w:p>
            <w:r/>
            <w:r>
              <w:rPr>
                <w:rFonts w:ascii="Noto Sans CJK SC" w:hAnsi="Noto Sans CJK SC" w:eastAsia="Noto Sans CJK SC"/>
                <w:b/>
                <w:color w:val="FFFFFF"/>
                <w:sz w:val="17"/>
              </w:rPr>
              <w:t>优势</w:t>
            </w:r>
          </w:p>
        </w:tc>
        <w:tc>
          <w:tcPr>
            <w:tcW w:type="dxa" w:w="4252"/>
            <w:vAlign w:val="center"/>
            <w:shd w:fill="2F75B5"/>
          </w:tcPr>
          <w:p>
            <w:r/>
            <w:r>
              <w:rPr>
                <w:rFonts w:ascii="Noto Sans CJK SC" w:hAnsi="Noto Sans CJK SC" w:eastAsia="Noto Sans CJK SC"/>
                <w:b/>
                <w:color w:val="FFFFFF"/>
                <w:sz w:val="17"/>
              </w:rPr>
              <w:t>局限/控制点</w:t>
            </w:r>
          </w:p>
        </w:tc>
      </w:tr>
      <w:tr>
        <w:tc>
          <w:tcPr>
            <w:tcW w:type="dxa" w:w="2268"/>
            <w:vAlign w:val="center"/>
          </w:tcPr>
          <w:p>
            <w:r/>
            <w:r>
              <w:rPr>
                <w:rFonts w:ascii="Noto Sans CJK SC" w:hAnsi="Noto Sans CJK SC" w:eastAsia="Noto Sans CJK SC"/>
                <w:b w:val="0"/>
                <w:sz w:val="17"/>
              </w:rPr>
              <w:t>6分钟步行距离（6MWD）</w:t>
            </w:r>
          </w:p>
        </w:tc>
        <w:tc>
          <w:tcPr>
            <w:tcW w:type="dxa" w:w="4252"/>
            <w:vAlign w:val="center"/>
          </w:tcPr>
          <w:p>
            <w:r/>
            <w:r>
              <w:rPr>
                <w:rFonts w:ascii="Noto Sans CJK SC" w:hAnsi="Noto Sans CJK SC" w:eastAsia="Noto Sans CJK SC"/>
                <w:b w:val="0"/>
                <w:sz w:val="17"/>
              </w:rPr>
              <w:t>反映日常步行耐力；设备要求低；PAD试验广泛使用；可在多中心标准化</w:t>
            </w:r>
          </w:p>
        </w:tc>
        <w:tc>
          <w:tcPr>
            <w:tcW w:type="dxa" w:w="4252"/>
            <w:vAlign w:val="center"/>
          </w:tcPr>
          <w:p>
            <w:r/>
            <w:r>
              <w:rPr>
                <w:rFonts w:ascii="Noto Sans CJK SC" w:hAnsi="Noto Sans CJK SC" w:eastAsia="Noto Sans CJK SC"/>
                <w:b w:val="0"/>
                <w:sz w:val="17"/>
              </w:rPr>
              <w:t>需要标准走廊、认证人员、统一鼓励语、助行器规则和重复测量；疾病外因素影响</w:t>
            </w:r>
          </w:p>
        </w:tc>
      </w:tr>
      <w:tr>
        <w:tc>
          <w:tcPr>
            <w:tcW w:type="dxa" w:w="2268"/>
            <w:vAlign w:val="center"/>
            <w:shd w:fill="F2F2F2"/>
          </w:tcPr>
          <w:p>
            <w:r/>
            <w:r>
              <w:rPr>
                <w:rFonts w:ascii="Noto Sans CJK SC" w:hAnsi="Noto Sans CJK SC" w:eastAsia="Noto Sans CJK SC"/>
                <w:b w:val="0"/>
                <w:sz w:val="17"/>
              </w:rPr>
              <w:t>平板最大/无痛步行时间</w:t>
            </w:r>
          </w:p>
        </w:tc>
        <w:tc>
          <w:tcPr>
            <w:tcW w:type="dxa" w:w="4252"/>
            <w:vAlign w:val="center"/>
            <w:shd w:fill="F2F2F2"/>
          </w:tcPr>
          <w:p>
            <w:r/>
            <w:r>
              <w:rPr>
                <w:rFonts w:ascii="Noto Sans CJK SC" w:hAnsi="Noto Sans CJK SC" w:eastAsia="Noto Sans CJK SC"/>
                <w:b w:val="0"/>
                <w:sz w:val="17"/>
              </w:rPr>
              <w:t>在IC研究中传统、可控制速度和坡度；对跛行表现敏感</w:t>
            </w:r>
          </w:p>
        </w:tc>
        <w:tc>
          <w:tcPr>
            <w:tcW w:type="dxa" w:w="4252"/>
            <w:vAlign w:val="center"/>
            <w:shd w:fill="F2F2F2"/>
          </w:tcPr>
          <w:p>
            <w:r/>
            <w:r>
              <w:rPr>
                <w:rFonts w:ascii="Noto Sans CJK SC" w:hAnsi="Noto Sans CJK SC" w:eastAsia="Noto Sans CJK SC"/>
                <w:b w:val="0"/>
                <w:sz w:val="17"/>
              </w:rPr>
              <w:t>设备、熟悉效应和中心差异更大；与日常步行构念不同</w:t>
            </w:r>
          </w:p>
        </w:tc>
      </w:tr>
      <w:tr>
        <w:tc>
          <w:tcPr>
            <w:tcW w:type="dxa" w:w="2268"/>
            <w:vAlign w:val="center"/>
          </w:tcPr>
          <w:p>
            <w:r/>
            <w:r>
              <w:rPr>
                <w:rFonts w:ascii="Noto Sans CJK SC" w:hAnsi="Noto Sans CJK SC" w:eastAsia="Noto Sans CJK SC"/>
                <w:b w:val="0"/>
                <w:sz w:val="17"/>
              </w:rPr>
              <w:t>WIQ/生活质量量表</w:t>
            </w:r>
          </w:p>
        </w:tc>
        <w:tc>
          <w:tcPr>
            <w:tcW w:type="dxa" w:w="4252"/>
            <w:vAlign w:val="center"/>
          </w:tcPr>
          <w:p>
            <w:r/>
            <w:r>
              <w:rPr>
                <w:rFonts w:ascii="Noto Sans CJK SC" w:hAnsi="Noto Sans CJK SC" w:eastAsia="Noto Sans CJK SC"/>
                <w:b w:val="0"/>
                <w:sz w:val="17"/>
              </w:rPr>
              <w:t>反映患者感受和功能限制</w:t>
            </w:r>
          </w:p>
        </w:tc>
        <w:tc>
          <w:tcPr>
            <w:tcW w:type="dxa" w:w="4252"/>
            <w:vAlign w:val="center"/>
          </w:tcPr>
          <w:p>
            <w:r/>
            <w:r>
              <w:rPr>
                <w:rFonts w:ascii="Noto Sans CJK SC" w:hAnsi="Noto Sans CJK SC" w:eastAsia="Noto Sans CJK SC"/>
                <w:b w:val="0"/>
                <w:sz w:val="17"/>
              </w:rPr>
              <w:t>需语言验证、文化适配、缺失处理和多重性计划</w:t>
            </w:r>
          </w:p>
        </w:tc>
      </w:tr>
      <w:tr>
        <w:tc>
          <w:tcPr>
            <w:tcW w:type="dxa" w:w="2268"/>
            <w:vAlign w:val="center"/>
            <w:shd w:fill="F2F2F2"/>
          </w:tcPr>
          <w:p>
            <w:r/>
            <w:r>
              <w:rPr>
                <w:rFonts w:ascii="Noto Sans CJK SC" w:hAnsi="Noto Sans CJK SC" w:eastAsia="Noto Sans CJK SC"/>
                <w:b w:val="0"/>
                <w:sz w:val="17"/>
              </w:rPr>
              <w:t>ABI/血管功能/FMD</w:t>
            </w:r>
          </w:p>
        </w:tc>
        <w:tc>
          <w:tcPr>
            <w:tcW w:type="dxa" w:w="4252"/>
            <w:vAlign w:val="center"/>
            <w:shd w:fill="F2F2F2"/>
          </w:tcPr>
          <w:p>
            <w:r/>
            <w:r>
              <w:rPr>
                <w:rFonts w:ascii="Noto Sans CJK SC" w:hAnsi="Noto Sans CJK SC" w:eastAsia="Noto Sans CJK SC"/>
                <w:b w:val="0"/>
                <w:sz w:val="17"/>
              </w:rPr>
              <w:t>可支持机制和PAD生理变化</w:t>
            </w:r>
          </w:p>
        </w:tc>
        <w:tc>
          <w:tcPr>
            <w:tcW w:type="dxa" w:w="4252"/>
            <w:vAlign w:val="center"/>
            <w:shd w:fill="F2F2F2"/>
          </w:tcPr>
          <w:p>
            <w:r/>
            <w:r>
              <w:rPr>
                <w:rFonts w:ascii="Noto Sans CJK SC" w:hAnsi="Noto Sans CJK SC" w:eastAsia="Noto Sans CJK SC"/>
                <w:b w:val="0"/>
                <w:sz w:val="17"/>
              </w:rPr>
              <w:t>与患者临床功能不等价，不宜单独支持功能适应证主张</w:t>
            </w:r>
          </w:p>
        </w:tc>
      </w:tr>
      <w:tr>
        <w:tc>
          <w:tcPr>
            <w:tcW w:type="dxa" w:w="2268"/>
            <w:vAlign w:val="center"/>
          </w:tcPr>
          <w:p>
            <w:r/>
            <w:r>
              <w:rPr>
                <w:rFonts w:ascii="Noto Sans CJK SC" w:hAnsi="Noto Sans CJK SC" w:eastAsia="Noto Sans CJK SC"/>
                <w:b w:val="0"/>
                <w:sz w:val="17"/>
              </w:rPr>
              <w:t>MACE/MALE</w:t>
            </w:r>
          </w:p>
        </w:tc>
        <w:tc>
          <w:tcPr>
            <w:tcW w:type="dxa" w:w="4252"/>
            <w:vAlign w:val="center"/>
          </w:tcPr>
          <w:p>
            <w:r/>
            <w:r>
              <w:rPr>
                <w:rFonts w:ascii="Noto Sans CJK SC" w:hAnsi="Noto Sans CJK SC" w:eastAsia="Noto Sans CJK SC"/>
                <w:b w:val="0"/>
                <w:sz w:val="17"/>
              </w:rPr>
              <w:t>临床意义高</w:t>
            </w:r>
          </w:p>
        </w:tc>
        <w:tc>
          <w:tcPr>
            <w:tcW w:type="dxa" w:w="4252"/>
            <w:vAlign w:val="center"/>
          </w:tcPr>
          <w:p>
            <w:r/>
            <w:r>
              <w:rPr>
                <w:rFonts w:ascii="Noto Sans CJK SC" w:hAnsi="Noto Sans CJK SC" w:eastAsia="Noto Sans CJK SC"/>
                <w:b w:val="0"/>
                <w:sz w:val="17"/>
              </w:rPr>
              <w:t>事件率低，样本和随访远超本项目资源；可作为探索/长期随访</w:t>
            </w:r>
          </w:p>
        </w:tc>
      </w:tr>
    </w:tbl>
    <w:p/>
    <w:p>
      <w:r>
        <w:t>2021年前证据提示，PAD患者6MWD约8 m和20 m的改善可分别对应较小和较大的患者可感知改善；更早文献常使用20 m和50 m作为小/大临床意义阈值。AI应解释选择的效应量、来源、目标人群差异和保守性。</w:t>
      </w:r>
    </w:p>
    <w:p>
      <w:pPr>
        <w:pStyle w:val="Heading1"/>
      </w:pPr>
      <w:r>
        <w:t>三、既往相邻试验</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1984"/>
            <w:vAlign w:val="center"/>
            <w:shd w:fill="2F75B5"/>
          </w:tcPr>
          <w:p>
            <w:r/>
            <w:r>
              <w:rPr>
                <w:rFonts w:ascii="Noto Sans CJK SC" w:hAnsi="Noto Sans CJK SC" w:eastAsia="Noto Sans CJK SC"/>
                <w:b/>
                <w:color w:val="FFFFFF"/>
                <w:sz w:val="16"/>
              </w:rPr>
              <w:t>试验/证据</w:t>
            </w:r>
          </w:p>
        </w:tc>
        <w:tc>
          <w:tcPr>
            <w:tcW w:type="dxa" w:w="3685"/>
            <w:vAlign w:val="center"/>
            <w:shd w:fill="2F75B5"/>
          </w:tcPr>
          <w:p>
            <w:r/>
            <w:r>
              <w:rPr>
                <w:rFonts w:ascii="Noto Sans CJK SC" w:hAnsi="Noto Sans CJK SC" w:eastAsia="Noto Sans CJK SC"/>
                <w:b/>
                <w:color w:val="FFFFFF"/>
                <w:sz w:val="16"/>
              </w:rPr>
              <w:t>关键设计事实</w:t>
            </w:r>
          </w:p>
        </w:tc>
        <w:tc>
          <w:tcPr>
            <w:tcW w:type="dxa" w:w="3118"/>
            <w:vAlign w:val="center"/>
            <w:shd w:fill="2F75B5"/>
          </w:tcPr>
          <w:p>
            <w:r/>
            <w:r>
              <w:rPr>
                <w:rFonts w:ascii="Noto Sans CJK SC" w:hAnsi="Noto Sans CJK SC" w:eastAsia="Noto Sans CJK SC"/>
                <w:b/>
                <w:color w:val="FFFFFF"/>
                <w:sz w:val="16"/>
              </w:rPr>
              <w:t>可学习内容</w:t>
            </w:r>
          </w:p>
        </w:tc>
        <w:tc>
          <w:tcPr>
            <w:tcW w:type="dxa" w:w="2551"/>
            <w:vAlign w:val="center"/>
            <w:shd w:fill="2F75B5"/>
          </w:tcPr>
          <w:p>
            <w:r/>
            <w:r>
              <w:rPr>
                <w:rFonts w:ascii="Noto Sans CJK SC" w:hAnsi="Noto Sans CJK SC" w:eastAsia="Noto Sans CJK SC"/>
                <w:b/>
                <w:color w:val="FFFFFF"/>
                <w:sz w:val="16"/>
              </w:rPr>
              <w:t>限制</w:t>
            </w:r>
          </w:p>
        </w:tc>
      </w:tr>
      <w:tr>
        <w:tc>
          <w:tcPr>
            <w:tcW w:type="dxa" w:w="1984"/>
            <w:vAlign w:val="center"/>
          </w:tcPr>
          <w:p>
            <w:r/>
            <w:r>
              <w:rPr>
                <w:rFonts w:ascii="Noto Sans CJK SC" w:hAnsi="Noto Sans CJK SC" w:eastAsia="Noto Sans CJK SC"/>
                <w:b w:val="0"/>
                <w:sz w:val="16"/>
              </w:rPr>
              <w:t>NCT01799057</w:t>
            </w:r>
          </w:p>
        </w:tc>
        <w:tc>
          <w:tcPr>
            <w:tcW w:type="dxa" w:w="3685"/>
            <w:vAlign w:val="center"/>
          </w:tcPr>
          <w:p>
            <w:r/>
            <w:r>
              <w:rPr>
                <w:rFonts w:ascii="Noto Sans CJK SC" w:hAnsi="Noto Sans CJK SC" w:eastAsia="Noto Sans CJK SC"/>
                <w:b w:val="0"/>
                <w:sz w:val="16"/>
              </w:rPr>
              <w:t>计划60–80例；metformin最高2000 mg/day；16–18周；平板无痛/最大步行时间；实际入组2例后因招募困难终止</w:t>
            </w:r>
          </w:p>
        </w:tc>
        <w:tc>
          <w:tcPr>
            <w:tcW w:type="dxa" w:w="3118"/>
            <w:vAlign w:val="center"/>
          </w:tcPr>
          <w:p>
            <w:r/>
            <w:r>
              <w:rPr>
                <w:rFonts w:ascii="Noto Sans CJK SC" w:hAnsi="Noto Sans CJK SC" w:eastAsia="Noto Sans CJK SC"/>
                <w:b w:val="0"/>
                <w:sz w:val="16"/>
              </w:rPr>
              <w:t>入排、剂量和终点先例；招募失败必须进入风险模型</w:t>
            </w:r>
          </w:p>
        </w:tc>
        <w:tc>
          <w:tcPr>
            <w:tcW w:type="dxa" w:w="2551"/>
            <w:vAlign w:val="center"/>
          </w:tcPr>
          <w:p>
            <w:r/>
            <w:r>
              <w:rPr>
                <w:rFonts w:ascii="Noto Sans CJK SC" w:hAnsi="Noto Sans CJK SC" w:eastAsia="Noto Sans CJK SC"/>
                <w:b w:val="0"/>
                <w:sz w:val="16"/>
              </w:rPr>
              <w:t>小样本且未产生疗效结论</w:t>
            </w:r>
          </w:p>
        </w:tc>
      </w:tr>
      <w:tr>
        <w:tc>
          <w:tcPr>
            <w:tcW w:type="dxa" w:w="1984"/>
            <w:vAlign w:val="center"/>
            <w:shd w:fill="F2F2F2"/>
          </w:tcPr>
          <w:p>
            <w:r/>
            <w:r>
              <w:rPr>
                <w:rFonts w:ascii="Noto Sans CJK SC" w:hAnsi="Noto Sans CJK SC" w:eastAsia="Noto Sans CJK SC"/>
                <w:b w:val="0"/>
                <w:sz w:val="16"/>
              </w:rPr>
              <w:t>NCT03054519 PERMET（截至截止日）</w:t>
            </w:r>
          </w:p>
        </w:tc>
        <w:tc>
          <w:tcPr>
            <w:tcW w:type="dxa" w:w="3685"/>
            <w:vAlign w:val="center"/>
            <w:shd w:fill="F2F2F2"/>
          </w:tcPr>
          <w:p>
            <w:r/>
            <w:r>
              <w:rPr>
                <w:rFonts w:ascii="Noto Sans CJK SC" w:hAnsi="Noto Sans CJK SC" w:eastAsia="Noto Sans CJK SC"/>
                <w:b w:val="0"/>
                <w:sz w:val="16"/>
              </w:rPr>
              <w:t>随机、安慰剂、6个月；metformin最高2000 mg/day；6MWT主要终点；PAD人群</w:t>
            </w:r>
          </w:p>
        </w:tc>
        <w:tc>
          <w:tcPr>
            <w:tcW w:type="dxa" w:w="3118"/>
            <w:vAlign w:val="center"/>
            <w:shd w:fill="F2F2F2"/>
          </w:tcPr>
          <w:p>
            <w:r/>
            <w:r>
              <w:rPr>
                <w:rFonts w:ascii="Noto Sans CJK SC" w:hAnsi="Noto Sans CJK SC" w:eastAsia="Noto Sans CJK SC"/>
                <w:b w:val="0"/>
                <w:sz w:val="16"/>
              </w:rPr>
              <w:t>最接近的在研先例；可用于定义竞争试验、终点和剂量范围</w:t>
            </w:r>
          </w:p>
        </w:tc>
        <w:tc>
          <w:tcPr>
            <w:tcW w:type="dxa" w:w="2551"/>
            <w:vAlign w:val="center"/>
            <w:shd w:fill="F2F2F2"/>
          </w:tcPr>
          <w:p>
            <w:r/>
            <w:r>
              <w:rPr>
                <w:rFonts w:ascii="Noto Sans CJK SC" w:hAnsi="Noto Sans CJK SC" w:eastAsia="Noto Sans CJK SC"/>
                <w:b w:val="0"/>
                <w:sz w:val="16"/>
              </w:rPr>
              <w:t>截止日后方案/结果全部隐藏；不得假设结果</w:t>
            </w:r>
          </w:p>
        </w:tc>
      </w:tr>
      <w:tr>
        <w:tc>
          <w:tcPr>
            <w:tcW w:type="dxa" w:w="1984"/>
            <w:vAlign w:val="center"/>
          </w:tcPr>
          <w:p>
            <w:r/>
            <w:r>
              <w:rPr>
                <w:rFonts w:ascii="Noto Sans CJK SC" w:hAnsi="Noto Sans CJK SC" w:eastAsia="Noto Sans CJK SC"/>
                <w:b w:val="0"/>
                <w:sz w:val="16"/>
              </w:rPr>
              <w:t>PROPEL</w:t>
            </w:r>
          </w:p>
        </w:tc>
        <w:tc>
          <w:tcPr>
            <w:tcW w:type="dxa" w:w="3685"/>
            <w:vAlign w:val="center"/>
          </w:tcPr>
          <w:p>
            <w:r/>
            <w:r>
              <w:rPr>
                <w:rFonts w:ascii="Noto Sans CJK SC" w:hAnsi="Noto Sans CJK SC" w:eastAsia="Noto Sans CJK SC"/>
                <w:b w:val="0"/>
                <w:sz w:val="16"/>
              </w:rPr>
              <w:t>210例，多中心/社区招募；6MWT；运动干预显著改善；评估827人随机210人</w:t>
            </w:r>
          </w:p>
        </w:tc>
        <w:tc>
          <w:tcPr>
            <w:tcW w:type="dxa" w:w="3118"/>
            <w:vAlign w:val="center"/>
          </w:tcPr>
          <w:p>
            <w:r/>
            <w:r>
              <w:rPr>
                <w:rFonts w:ascii="Noto Sans CJK SC" w:hAnsi="Noto Sans CJK SC" w:eastAsia="Noto Sans CJK SC"/>
                <w:b w:val="0"/>
                <w:sz w:val="16"/>
              </w:rPr>
              <w:t>筛选漏斗、共同运动干预、效应量和6MWT操作</w:t>
            </w:r>
          </w:p>
        </w:tc>
        <w:tc>
          <w:tcPr>
            <w:tcW w:type="dxa" w:w="2551"/>
            <w:vAlign w:val="center"/>
          </w:tcPr>
          <w:p>
            <w:r/>
            <w:r>
              <w:rPr>
                <w:rFonts w:ascii="Noto Sans CJK SC" w:hAnsi="Noto Sans CJK SC" w:eastAsia="Noto Sans CJK SC"/>
                <w:b w:val="0"/>
                <w:sz w:val="16"/>
              </w:rPr>
              <w:t>干预不是metformin，且人群包含更广PAD</w:t>
            </w:r>
          </w:p>
        </w:tc>
      </w:tr>
      <w:tr>
        <w:tc>
          <w:tcPr>
            <w:tcW w:type="dxa" w:w="1984"/>
            <w:vAlign w:val="center"/>
            <w:shd w:fill="F2F2F2"/>
          </w:tcPr>
          <w:p>
            <w:r/>
            <w:r>
              <w:rPr>
                <w:rFonts w:ascii="Noto Sans CJK SC" w:hAnsi="Noto Sans CJK SC" w:eastAsia="Noto Sans CJK SC"/>
                <w:b w:val="0"/>
                <w:sz w:val="16"/>
              </w:rPr>
              <w:t>LITE</w:t>
            </w:r>
          </w:p>
        </w:tc>
        <w:tc>
          <w:tcPr>
            <w:tcW w:type="dxa" w:w="3685"/>
            <w:vAlign w:val="center"/>
            <w:shd w:fill="F2F2F2"/>
          </w:tcPr>
          <w:p>
            <w:r/>
            <w:r>
              <w:rPr>
                <w:rFonts w:ascii="Noto Sans CJK SC" w:hAnsi="Noto Sans CJK SC" w:eastAsia="Noto Sans CJK SC"/>
                <w:b w:val="0"/>
                <w:sz w:val="16"/>
              </w:rPr>
              <w:t>305例；高强度家庭步行改善6MWT，低强度未改善</w:t>
            </w:r>
          </w:p>
        </w:tc>
        <w:tc>
          <w:tcPr>
            <w:tcW w:type="dxa" w:w="3118"/>
            <w:vAlign w:val="center"/>
            <w:shd w:fill="F2F2F2"/>
          </w:tcPr>
          <w:p>
            <w:r/>
            <w:r>
              <w:rPr>
                <w:rFonts w:ascii="Noto Sans CJK SC" w:hAnsi="Noto Sans CJK SC" w:eastAsia="Noto Sans CJK SC"/>
                <w:b w:val="0"/>
                <w:sz w:val="16"/>
              </w:rPr>
              <w:t>运动强度和行为干预可成为重要混杂/共同干预</w:t>
            </w:r>
          </w:p>
        </w:tc>
        <w:tc>
          <w:tcPr>
            <w:tcW w:type="dxa" w:w="2551"/>
            <w:vAlign w:val="center"/>
            <w:shd w:fill="F2F2F2"/>
          </w:tcPr>
          <w:p>
            <w:r/>
            <w:r>
              <w:rPr>
                <w:rFonts w:ascii="Noto Sans CJK SC" w:hAnsi="Noto Sans CJK SC" w:eastAsia="Noto Sans CJK SC"/>
                <w:b w:val="0"/>
                <w:sz w:val="16"/>
              </w:rPr>
              <w:t>研究目的为运动治疗</w:t>
            </w:r>
          </w:p>
        </w:tc>
      </w:tr>
      <w:tr>
        <w:tc>
          <w:tcPr>
            <w:tcW w:type="dxa" w:w="1984"/>
            <w:vAlign w:val="center"/>
          </w:tcPr>
          <w:p>
            <w:r/>
            <w:r>
              <w:rPr>
                <w:rFonts w:ascii="Noto Sans CJK SC" w:hAnsi="Noto Sans CJK SC" w:eastAsia="Noto Sans CJK SC"/>
                <w:b w:val="0"/>
                <w:sz w:val="16"/>
              </w:rPr>
              <w:t>内皮功能研究</w:t>
            </w:r>
          </w:p>
        </w:tc>
        <w:tc>
          <w:tcPr>
            <w:tcW w:type="dxa" w:w="3685"/>
            <w:vAlign w:val="center"/>
          </w:tcPr>
          <w:p>
            <w:r/>
            <w:r>
              <w:rPr>
                <w:rFonts w:ascii="Noto Sans CJK SC" w:hAnsi="Noto Sans CJK SC" w:eastAsia="Noto Sans CJK SC"/>
                <w:b w:val="0"/>
                <w:sz w:val="16"/>
              </w:rPr>
              <w:t>metformin在糖尿病人群中影响FMD或内皮标志物</w:t>
            </w:r>
          </w:p>
        </w:tc>
        <w:tc>
          <w:tcPr>
            <w:tcW w:type="dxa" w:w="3118"/>
            <w:vAlign w:val="center"/>
          </w:tcPr>
          <w:p>
            <w:r/>
            <w:r>
              <w:rPr>
                <w:rFonts w:ascii="Noto Sans CJK SC" w:hAnsi="Noto Sans CJK SC" w:eastAsia="Noto Sans CJK SC"/>
                <w:b w:val="0"/>
                <w:sz w:val="16"/>
              </w:rPr>
              <w:t>支持机制假设和探索终点</w:t>
            </w:r>
          </w:p>
        </w:tc>
        <w:tc>
          <w:tcPr>
            <w:tcW w:type="dxa" w:w="2551"/>
            <w:vAlign w:val="center"/>
          </w:tcPr>
          <w:p>
            <w:r/>
            <w:r>
              <w:rPr>
                <w:rFonts w:ascii="Noto Sans CJK SC" w:hAnsi="Noto Sans CJK SC" w:eastAsia="Noto Sans CJK SC"/>
                <w:b w:val="0"/>
                <w:sz w:val="16"/>
              </w:rPr>
              <w:t>人群、疾病和临床终点不一致</w:t>
            </w:r>
          </w:p>
        </w:tc>
      </w:tr>
    </w:tbl>
    <w:p/>
    <w:p>
      <w:pPr>
        <w:pStyle w:val="Heading1"/>
      </w:pPr>
      <w:r>
        <w:t>四、招募与可行性证据</w:t>
      </w:r>
    </w:p>
    <w:p>
      <w:pPr>
        <w:pStyle w:val="ListBullet"/>
      </w:pPr>
      <w:r>
        <w:t>NCT01799057因招募困难终止，说明“典型IC + 严格ABI + 无糖尿病 + 可完成运动测试”的组合可能显著压缩人群。</w:t>
      </w:r>
    </w:p>
    <w:p>
      <w:pPr>
        <w:pStyle w:val="ListBullet"/>
      </w:pPr>
      <w:r>
        <w:t>PROPEL评估827人、随机210人，提示筛选到随机转化率约四分之一；不同项目不可直接套用，但必须建立筛选漏斗。</w:t>
      </w:r>
    </w:p>
    <w:p>
      <w:pPr>
        <w:pStyle w:val="ListBullet"/>
      </w:pPr>
      <w:r>
        <w:t>PAD高龄人群常见心肺、神经和肌骨合并症，需在内部效度与可招募性之间平衡。</w:t>
      </w:r>
    </w:p>
    <w:p>
      <w:pPr>
        <w:pStyle w:val="ListBullet"/>
      </w:pPr>
      <w:r>
        <w:t>中国中心可能有大量PAD患者，但典型IC识别、ABI/运动后ABI流程和6MWT标准化能力需单独验证。</w:t>
      </w:r>
    </w:p>
    <w:p>
      <w:pPr>
        <w:pStyle w:val="Heading1"/>
      </w:pPr>
      <w:r>
        <w:t>五、样本量输入范围（仅供推导）</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2835"/>
            <w:vAlign w:val="center"/>
            <w:shd w:fill="2F75B5"/>
          </w:tcPr>
          <w:p>
            <w:r/>
            <w:r>
              <w:rPr>
                <w:rFonts w:ascii="Noto Sans CJK SC" w:hAnsi="Noto Sans CJK SC" w:eastAsia="Noto Sans CJK SC"/>
                <w:b/>
                <w:color w:val="FFFFFF"/>
                <w:sz w:val="18"/>
              </w:rPr>
              <w:t>参数</w:t>
            </w:r>
          </w:p>
        </w:tc>
        <w:tc>
          <w:tcPr>
            <w:tcW w:type="dxa" w:w="2835"/>
            <w:vAlign w:val="center"/>
            <w:shd w:fill="2F75B5"/>
          </w:tcPr>
          <w:p>
            <w:r/>
            <w:r>
              <w:rPr>
                <w:rFonts w:ascii="Noto Sans CJK SC" w:hAnsi="Noto Sans CJK SC" w:eastAsia="Noto Sans CJK SC"/>
                <w:b/>
                <w:color w:val="FFFFFF"/>
                <w:sz w:val="18"/>
              </w:rPr>
              <w:t>合理探索范围</w:t>
            </w:r>
          </w:p>
        </w:tc>
        <w:tc>
          <w:tcPr>
            <w:tcW w:type="dxa" w:w="5102"/>
            <w:vAlign w:val="center"/>
            <w:shd w:fill="2F75B5"/>
          </w:tcPr>
          <w:p>
            <w:r/>
            <w:r>
              <w:rPr>
                <w:rFonts w:ascii="Noto Sans CJK SC" w:hAnsi="Noto Sans CJK SC" w:eastAsia="Noto Sans CJK SC"/>
                <w:b/>
                <w:color w:val="FFFFFF"/>
                <w:sz w:val="18"/>
              </w:rPr>
              <w:t>说明</w:t>
            </w:r>
          </w:p>
        </w:tc>
      </w:tr>
      <w:tr>
        <w:tc>
          <w:tcPr>
            <w:tcW w:type="dxa" w:w="2835"/>
            <w:vAlign w:val="center"/>
          </w:tcPr>
          <w:p>
            <w:r/>
            <w:r>
              <w:rPr>
                <w:rFonts w:ascii="Noto Sans CJK SC" w:hAnsi="Noto Sans CJK SC" w:eastAsia="Noto Sans CJK SC"/>
                <w:b w:val="0"/>
                <w:sz w:val="18"/>
              </w:rPr>
              <w:t>主要效应</w:t>
            </w:r>
          </w:p>
        </w:tc>
        <w:tc>
          <w:tcPr>
            <w:tcW w:type="dxa" w:w="2835"/>
            <w:vAlign w:val="center"/>
          </w:tcPr>
          <w:p>
            <w:r/>
            <w:r>
              <w:rPr>
                <w:rFonts w:ascii="Noto Sans CJK SC" w:hAnsi="Noto Sans CJK SC" w:eastAsia="Noto Sans CJK SC"/>
                <w:b w:val="0"/>
                <w:sz w:val="18"/>
              </w:rPr>
              <w:t>15–30 m</w:t>
            </w:r>
          </w:p>
        </w:tc>
        <w:tc>
          <w:tcPr>
            <w:tcW w:type="dxa" w:w="5102"/>
            <w:vAlign w:val="center"/>
          </w:tcPr>
          <w:p>
            <w:r/>
            <w:r>
              <w:rPr>
                <w:rFonts w:ascii="Noto Sans CJK SC" w:hAnsi="Noto Sans CJK SC" w:eastAsia="Noto Sans CJK SC"/>
                <w:b w:val="0"/>
                <w:sz w:val="18"/>
              </w:rPr>
              <w:t>低于20 m需充分解释临床意义；30 m以上可能过于乐观</w:t>
            </w:r>
          </w:p>
        </w:tc>
      </w:tr>
      <w:tr>
        <w:tc>
          <w:tcPr>
            <w:tcW w:type="dxa" w:w="2835"/>
            <w:vAlign w:val="center"/>
            <w:shd w:fill="F2F2F2"/>
          </w:tcPr>
          <w:p>
            <w:r/>
            <w:r>
              <w:rPr>
                <w:rFonts w:ascii="Noto Sans CJK SC" w:hAnsi="Noto Sans CJK SC" w:eastAsia="Noto Sans CJK SC"/>
                <w:b w:val="0"/>
                <w:sz w:val="18"/>
              </w:rPr>
              <w:t>变化值标准差</w:t>
            </w:r>
          </w:p>
        </w:tc>
        <w:tc>
          <w:tcPr>
            <w:tcW w:type="dxa" w:w="2835"/>
            <w:vAlign w:val="center"/>
            <w:shd w:fill="F2F2F2"/>
          </w:tcPr>
          <w:p>
            <w:r/>
            <w:r>
              <w:rPr>
                <w:rFonts w:ascii="Noto Sans CJK SC" w:hAnsi="Noto Sans CJK SC" w:eastAsia="Noto Sans CJK SC"/>
                <w:b w:val="0"/>
                <w:sz w:val="18"/>
              </w:rPr>
              <w:t>50–80 m</w:t>
            </w:r>
          </w:p>
        </w:tc>
        <w:tc>
          <w:tcPr>
            <w:tcW w:type="dxa" w:w="5102"/>
            <w:vAlign w:val="center"/>
            <w:shd w:fill="F2F2F2"/>
          </w:tcPr>
          <w:p>
            <w:r/>
            <w:r>
              <w:rPr>
                <w:rFonts w:ascii="Noto Sans CJK SC" w:hAnsi="Noto Sans CJK SC" w:eastAsia="Noto Sans CJK SC"/>
                <w:b w:val="0"/>
                <w:sz w:val="18"/>
              </w:rPr>
              <w:t>参考PAD 6MWT试验；需根据分析模型和重复测量调整</w:t>
            </w:r>
          </w:p>
        </w:tc>
      </w:tr>
      <w:tr>
        <w:tc>
          <w:tcPr>
            <w:tcW w:type="dxa" w:w="2835"/>
            <w:vAlign w:val="center"/>
          </w:tcPr>
          <w:p>
            <w:r/>
            <w:r>
              <w:rPr>
                <w:rFonts w:ascii="Noto Sans CJK SC" w:hAnsi="Noto Sans CJK SC" w:eastAsia="Noto Sans CJK SC"/>
                <w:b w:val="0"/>
                <w:sz w:val="18"/>
              </w:rPr>
              <w:t>双侧显著性水平</w:t>
            </w:r>
          </w:p>
        </w:tc>
        <w:tc>
          <w:tcPr>
            <w:tcW w:type="dxa" w:w="2835"/>
            <w:vAlign w:val="center"/>
          </w:tcPr>
          <w:p>
            <w:r/>
            <w:r>
              <w:rPr>
                <w:rFonts w:ascii="Noto Sans CJK SC" w:hAnsi="Noto Sans CJK SC" w:eastAsia="Noto Sans CJK SC"/>
                <w:b w:val="0"/>
                <w:sz w:val="18"/>
              </w:rPr>
              <w:t>0.05</w:t>
            </w:r>
          </w:p>
        </w:tc>
        <w:tc>
          <w:tcPr>
            <w:tcW w:type="dxa" w:w="5102"/>
            <w:vAlign w:val="center"/>
          </w:tcPr>
          <w:p>
            <w:r/>
            <w:r>
              <w:rPr>
                <w:rFonts w:ascii="Noto Sans CJK SC" w:hAnsi="Noto Sans CJK SC" w:eastAsia="Noto Sans CJK SC"/>
                <w:b w:val="0"/>
                <w:sz w:val="18"/>
              </w:rPr>
              <w:t>若多个主要终点/时间点需多重性控制</w:t>
            </w:r>
          </w:p>
        </w:tc>
      </w:tr>
      <w:tr>
        <w:tc>
          <w:tcPr>
            <w:tcW w:type="dxa" w:w="2835"/>
            <w:vAlign w:val="center"/>
            <w:shd w:fill="F2F2F2"/>
          </w:tcPr>
          <w:p>
            <w:r/>
            <w:r>
              <w:rPr>
                <w:rFonts w:ascii="Noto Sans CJK SC" w:hAnsi="Noto Sans CJK SC" w:eastAsia="Noto Sans CJK SC"/>
                <w:b w:val="0"/>
                <w:sz w:val="18"/>
              </w:rPr>
              <w:t>把握度</w:t>
            </w:r>
          </w:p>
        </w:tc>
        <w:tc>
          <w:tcPr>
            <w:tcW w:type="dxa" w:w="2835"/>
            <w:vAlign w:val="center"/>
            <w:shd w:fill="F2F2F2"/>
          </w:tcPr>
          <w:p>
            <w:r/>
            <w:r>
              <w:rPr>
                <w:rFonts w:ascii="Noto Sans CJK SC" w:hAnsi="Noto Sans CJK SC" w:eastAsia="Noto Sans CJK SC"/>
                <w:b w:val="0"/>
                <w:sz w:val="18"/>
              </w:rPr>
              <w:t>80%–90%</w:t>
            </w:r>
          </w:p>
        </w:tc>
        <w:tc>
          <w:tcPr>
            <w:tcW w:type="dxa" w:w="5102"/>
            <w:vAlign w:val="center"/>
            <w:shd w:fill="F2F2F2"/>
          </w:tcPr>
          <w:p>
            <w:r/>
            <w:r>
              <w:rPr>
                <w:rFonts w:ascii="Noto Sans CJK SC" w:hAnsi="Noto Sans CJK SC" w:eastAsia="Noto Sans CJK SC"/>
                <w:b w:val="0"/>
                <w:sz w:val="18"/>
              </w:rPr>
              <w:t>注册支持性研究通常倾向≥90%，但资源受限</w:t>
            </w:r>
          </w:p>
        </w:tc>
      </w:tr>
      <w:tr>
        <w:tc>
          <w:tcPr>
            <w:tcW w:type="dxa" w:w="2835"/>
            <w:vAlign w:val="center"/>
          </w:tcPr>
          <w:p>
            <w:r/>
            <w:r>
              <w:rPr>
                <w:rFonts w:ascii="Noto Sans CJK SC" w:hAnsi="Noto Sans CJK SC" w:eastAsia="Noto Sans CJK SC"/>
                <w:b w:val="0"/>
                <w:sz w:val="18"/>
              </w:rPr>
              <w:t>失访/无主要终点评估</w:t>
            </w:r>
          </w:p>
        </w:tc>
        <w:tc>
          <w:tcPr>
            <w:tcW w:type="dxa" w:w="2835"/>
            <w:vAlign w:val="center"/>
          </w:tcPr>
          <w:p>
            <w:r/>
            <w:r>
              <w:rPr>
                <w:rFonts w:ascii="Noto Sans CJK SC" w:hAnsi="Noto Sans CJK SC" w:eastAsia="Noto Sans CJK SC"/>
                <w:b w:val="0"/>
                <w:sz w:val="18"/>
              </w:rPr>
              <w:t>12%–20%</w:t>
            </w:r>
          </w:p>
        </w:tc>
        <w:tc>
          <w:tcPr>
            <w:tcW w:type="dxa" w:w="5102"/>
            <w:vAlign w:val="center"/>
          </w:tcPr>
          <w:p>
            <w:r/>
            <w:r>
              <w:rPr>
                <w:rFonts w:ascii="Noto Sans CJK SC" w:hAnsi="Noto Sans CJK SC" w:eastAsia="Noto Sans CJK SC"/>
                <w:b w:val="0"/>
                <w:sz w:val="18"/>
              </w:rPr>
              <w:t>高龄心血管人群、胃肠不耐受和血运重建会增加缺失</w:t>
            </w:r>
          </w:p>
        </w:tc>
      </w:tr>
    </w:tbl>
    <w:p/>
    <w:p>
      <w:pPr>
        <w:pStyle w:val="Heading1"/>
      </w:pPr>
      <w:r>
        <w:t>六、关键估量目标问题</w:t>
      </w:r>
    </w:p>
    <w:p>
      <w:pPr>
        <w:pStyle w:val="ListBullet"/>
      </w:pPr>
      <w:r>
        <w:t>研究药永久停用、剂量降阶或依从性不足时，是估计“治疗策略效应”还是“假设完全依从效应”；</w:t>
      </w:r>
    </w:p>
    <w:p>
      <w:pPr>
        <w:pStyle w:val="ListBullet"/>
      </w:pPr>
      <w:r>
        <w:t>随机后血运重建、截肢、重大心血管事件、死亡或因非PAD原因不能步行如何处理；</w:t>
      </w:r>
    </w:p>
    <w:p>
      <w:pPr>
        <w:pStyle w:val="ListBullet"/>
      </w:pPr>
      <w:r>
        <w:t>COVID样公共卫生中断、中心无法完成6MWT或访视窗口偏离如何处理；</w:t>
      </w:r>
    </w:p>
    <w:p>
      <w:pPr>
        <w:pStyle w:val="ListBullet"/>
      </w:pPr>
      <w:r>
        <w:t>基线6MWD、吸烟状态、地区、糖代谢边界和PAD严重程度是否为分层或协变量；</w:t>
      </w:r>
    </w:p>
    <w:p>
      <w:pPr>
        <w:pStyle w:val="ListBullet"/>
      </w:pPr>
      <w:r>
        <w:t>多时间点6MWT和多个患者报告结局的多重性与层级检验。</w:t>
      </w:r>
    </w:p>
    <w:p>
      <w:pPr>
        <w:pStyle w:val="Heading1"/>
      </w:pPr>
      <w:r>
        <w:t>七、参考来源</w:t>
      </w:r>
    </w:p>
    <w:p>
      <w:r>
        <w:t>S01. 2016 AHA/ACC Guideline on Lower Extremity PAD (2016-11-13). https://pmc.ncbi.nlm.nih.gov/articles/PMC5477786/</w:t>
      </w:r>
    </w:p>
    <w:p>
      <w:r>
        <w:t>S02. NCT01799057: Metformin for PAD-related intermittent claudication (2013-02-26 / 2016终止更新). https://clinicaltrials.gov/study/NCT01799057?tab=table</w:t>
      </w:r>
    </w:p>
    <w:p>
      <w:r>
        <w:t>S03. NCT03054519: PERMET historical registry design (2017-02-15). https://clinicaltrials.gov/study/NCT03054519</w:t>
      </w:r>
    </w:p>
    <w:p>
      <w:r>
        <w:t>S04. PROPEL randomized clinical trial (2017-11-15). https://pmc.ncbi.nlm.nih.gov/articles/PMC5820720/</w:t>
      </w:r>
    </w:p>
    <w:p>
      <w:r>
        <w:t>S05. Meaningful change in 6-minute walk in PAD (2021-01). https://pmc.ncbi.nlm.nih.gov/articles/PMC9439935/</w:t>
      </w:r>
    </w:p>
    <w:p>
      <w:r>
        <w:t>S06. Six-minute walk versus treadmill outcomes in PAD trials (2014). https://pmc.ncbi.nlm.nih.gov/articles/PMC4154227/</w:t>
      </w:r>
    </w:p>
    <w:p>
      <w:r>
        <w:t>S07. LITE randomized clinical trial (2021-04). https://pmc.ncbi.nlm.nih.gov/articles/PMC8025122/</w:t>
      </w:r>
    </w:p>
    <w:p>
      <w:r>
        <w:t>S08. Metformin and endothelial function in type 1 diabetes (2013). https://pubmed.ncbi.nlm.nih.gov/23167274/</w:t>
      </w:r>
    </w:p>
    <w:p>
      <w:r>
        <w:t>S09. Metformin and endothelial markers in type 2 diabetes (2005). https://pubmed.ncbi.nlm.nih.gov/15606381/</w:t>
      </w:r>
    </w:p>
    <w:sectPr w:rsidR="00FC693F" w:rsidRPr="0006063C" w:rsidSect="00034616">
      <w:headerReference w:type="default" r:id="rId9"/>
      <w:footerReference w:type="default" r:id="rId10"/>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仅用于公开资料与合成案例原型测试；不得用于实际临床决策或申报。</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TrialCompiler 生成型方案测试包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auto"/>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