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模拟 FDA Type B Meeting Minutes</w:t>
      </w:r>
    </w:p>
    <w:p>
      <w:pPr>
        <w:jc w:val="center"/>
      </w:pPr>
      <w:r>
        <w:rPr>
          <w:b/>
          <w:color w:val="2F75B5"/>
          <w:sz w:val="22"/>
        </w:rPr>
        <w:t>AI可见：阶段2；SYNTHETIC，非真实FDA意见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模拟用途：</w:t>
            </w:r>
            <w:r>
              <w:rPr>
                <w:sz w:val="20"/>
              </w:rPr>
              <w:t>以下意见用于测试AI在新约束下修订方案的能力，不代表FDA立场。</w:t>
            </w:r>
          </w:p>
        </w:tc>
      </w:tr>
    </w:tbl>
    <w:p/>
    <w:p>
      <w:pPr>
        <w:pStyle w:val="Heading1"/>
      </w:pPr>
      <w:r>
        <w:t>会议背景</w:t>
      </w:r>
    </w:p>
    <w:p>
      <w:r>
        <w:t>申办方提交了Metformin ER用于无糖尿病症状性PAD患者的概念性方案和问题清单，拟将研究用于支持未来新适应证标签。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议题</w:t>
            </w:r>
          </w:p>
        </w:tc>
        <w:tc>
          <w:tcPr>
            <w:tcW w:type="dxa" w:w="8504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模拟FDA反馈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IND状态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因研究意图支持新适应证/标签变更，不应按IND豁免推进；提交IND并提供临床方案、既往人体经验和充分CMC信息。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开发路径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若申办方不拥有原NDA，应尽早确认505(b)(2)策略、参照药、依赖资料、桥接和专利/独占影响。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主要终点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6MWD可作为候选临床功能终点，但需提供PAD人群验证、临床意义和中心标准化依据；不接受以FMD/炎症标志物替代临床功能。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主要时间点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24周可接受作为候选主要时间点；应提供治疗效应出现与维持的依据，并保留停药后随访。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剂量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需要在1000与2000 mg/day之间权衡生物效应、胃肠耐受和高龄PAD安全性；建议说明剂量选择和递增/降阶。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人群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建议聚焦症状性PAD并排除非PAD为主要步行限制；标准治疗应稳定。不要因过度严格定义导致不可招募。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估量目标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预先规定研究药停用、血运重建、重大心血管事件、死亡和无法完成步行测试的处理策略。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随机化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建议至少按基线6MWD和地区分层；吸烟状态可作为分层或协变量，需控制随机化层数。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安全性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eGFR、造影剂、急性缺氧、手术、肝病和饮酒规则必须与现行标签一致或更保守。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长期证据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本研究规模不足以评价MACE/MALE；可探索性收集，不应形成确证性事件主张。</w:t>
            </w:r>
          </w:p>
        </w:tc>
      </w:tr>
    </w:tbl>
    <w:p/>
    <w:p>
      <w:pPr>
        <w:pStyle w:val="Heading1"/>
      </w:pPr>
      <w:r>
        <w:t>要求AI修订的输出</w:t>
      </w:r>
    </w:p>
    <w:p>
      <w:pPr>
        <w:pStyle w:val="ListBullet"/>
      </w:pPr>
      <w:r>
        <w:t>修订Protocol Synopsis、主要估量目标和样本量；</w:t>
      </w:r>
    </w:p>
    <w:p>
      <w:pPr>
        <w:pStyle w:val="ListBullet"/>
      </w:pPr>
      <w:r>
        <w:t>给出IND/505(b)(2)开发路径和下一次FDA沟通问题；</w:t>
      </w:r>
    </w:p>
    <w:p>
      <w:pPr>
        <w:pStyle w:val="ListBullet"/>
      </w:pPr>
      <w:r>
        <w:t>生成6MWT标准化附录和并发事件处理表；</w:t>
      </w:r>
    </w:p>
    <w:p>
      <w:pPr>
        <w:pStyle w:val="ListBullet"/>
      </w:pPr>
      <w:r>
        <w:t>解释剂量选择及其对招募、安全和依从性的影响；</w:t>
      </w:r>
    </w:p>
    <w:p>
      <w:pPr>
        <w:pStyle w:val="ListBullet"/>
      </w:pPr>
      <w:r>
        <w:t>输出FDA意见到Protocol章节/SoA/SAP/CRF的影响矩阵。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仅用于公开资料与合成案例原型测试；不得用于实际临床决策或申报。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TrialCompiler 生成型方案测试包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