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8E260">
      <w:pPr>
        <w:spacing w:line="240" w:lineRule="auto"/>
      </w:pPr>
      <w:bookmarkStart w:id="0" w:name="_GoBack"/>
      <w:bookmarkEnd w:id="0"/>
    </w:p>
    <w:p w14:paraId="1DA1203E">
      <w:pPr>
        <w:spacing w:line="240" w:lineRule="auto"/>
      </w:pPr>
    </w:p>
    <w:p w14:paraId="495EBA2C">
      <w:pPr>
        <w:spacing w:line="240" w:lineRule="auto"/>
      </w:pPr>
    </w:p>
    <w:p w14:paraId="5219070B">
      <w:pPr>
        <w:spacing w:line="240" w:lineRule="auto"/>
      </w:pPr>
    </w:p>
    <w:p w14:paraId="253021C4">
      <w:pPr>
        <w:spacing w:after="240"/>
        <w:jc w:val="center"/>
        <w:rPr>
          <w:lang w:eastAsia="zh-CN"/>
        </w:rPr>
      </w:pPr>
      <w:r>
        <w:rPr>
          <w:rFonts w:eastAsia="Times New Roman"/>
          <w:b/>
          <w:color w:val="163A5F"/>
          <w:sz w:val="52"/>
          <w:lang w:eastAsia="zh-CN"/>
        </w:rPr>
        <w:t>TrialCompiler</w:t>
      </w:r>
    </w:p>
    <w:p w14:paraId="428C1DD7">
      <w:pPr>
        <w:spacing w:after="40"/>
        <w:jc w:val="center"/>
        <w:rPr>
          <w:lang w:eastAsia="zh-CN"/>
        </w:rPr>
      </w:pPr>
      <w:r>
        <w:rPr>
          <w:rFonts w:eastAsia="黑体"/>
          <w:b/>
          <w:sz w:val="56"/>
          <w:lang w:eastAsia="zh-CN"/>
        </w:rPr>
        <w:t>临床试验方案及关联文件</w:t>
      </w:r>
    </w:p>
    <w:p w14:paraId="14619F71">
      <w:pPr>
        <w:spacing w:after="1200"/>
        <w:jc w:val="center"/>
        <w:rPr>
          <w:lang w:eastAsia="zh-CN"/>
        </w:rPr>
      </w:pPr>
      <w:r>
        <w:rPr>
          <w:rFonts w:eastAsia="黑体"/>
          <w:b/>
          <w:sz w:val="56"/>
          <w:lang w:eastAsia="zh-CN"/>
        </w:rPr>
        <w:t>竞争分析</w:t>
      </w:r>
    </w:p>
    <w:p w14:paraId="261CFCA7">
      <w:pPr>
        <w:spacing w:line="240" w:lineRule="auto"/>
        <w:rPr>
          <w:lang w:eastAsia="zh-CN"/>
        </w:rPr>
      </w:pPr>
    </w:p>
    <w:p w14:paraId="6B69C5FF">
      <w:pPr>
        <w:rPr>
          <w:lang w:eastAsia="zh-CN"/>
        </w:rPr>
        <w:sectPr>
          <w:pgSz w:w="11906" w:h="16838"/>
          <w:pgMar w:top="1440" w:right="1800" w:bottom="1440" w:left="1800" w:header="850" w:footer="994" w:gutter="0"/>
          <w:pgNumType w:start="1"/>
          <w:cols w:space="425" w:num="1"/>
          <w:docGrid w:type="linesAndChars" w:linePitch="592" w:charSpace="1616"/>
        </w:sectPr>
      </w:pPr>
    </w:p>
    <w:p w14:paraId="26E8C930">
      <w:pPr>
        <w:pStyle w:val="2"/>
      </w:pPr>
      <w:r>
        <w:rPr>
          <w:rFonts w:hint="eastAsia"/>
        </w:rPr>
        <w:t>一</w:t>
      </w:r>
      <w:r>
        <w:t>、行业竞争格局</w:t>
      </w:r>
    </w:p>
    <w:p w14:paraId="4B7AF7D9">
      <w:pPr>
        <w:pStyle w:val="62"/>
        <w:spacing w:before="120"/>
      </w:pPr>
      <w:r>
        <w:rPr>
          <w:rFonts w:hint="eastAsia" w:eastAsia="黑体"/>
        </w:rPr>
        <w:t>1</w:t>
      </w:r>
      <w:r>
        <w:rPr>
          <w:rFonts w:eastAsia="黑体"/>
        </w:rPr>
        <w:t>.1 市场由单点写作向结构化治理演进</w:t>
      </w:r>
    </w:p>
    <w:p w14:paraId="47832FA0">
      <w:pPr>
        <w:ind w:firstLine="560"/>
        <w:rPr>
          <w:lang w:eastAsia="zh-CN"/>
        </w:rPr>
      </w:pPr>
      <w:r>
        <w:rPr>
          <w:lang w:eastAsia="zh-CN"/>
        </w:rPr>
        <w:t>早期临床文档人工智能产品主要强调检索、摘要和文字生成，核心价值集中在缩短初稿编制时间。随着生成式人工智能能力普及，单纯的文本生成逐渐成为通用能力，竞争重点开始转向结构化协议、来源追踪、跨章节一致性、修订影响、版本审计和企业部署。ICH M11 与 CDISC USDM 进一步推动临床方案从静态文档向机器可读的研究定义演进，使“结构化事实如何进入文档和下游系统”成为行业共同基础，而不再只是单个厂商的功能选择。[11][12]</w:t>
      </w:r>
    </w:p>
    <w:p w14:paraId="0EC6E744">
      <w:pPr>
        <w:ind w:firstLine="560"/>
        <w:rPr>
          <w:lang w:eastAsia="zh-CN"/>
        </w:rPr>
      </w:pPr>
      <w:r>
        <w:rPr>
          <w:lang w:eastAsia="zh-CN"/>
        </w:rPr>
        <w:t>这一演进改变了竞争逻辑。协议生成速度容易被模型能力和模板工程快速追平，真正需要长期积累的是专业规则、事实依赖、审计责任和企业流程适配。直接竞品已经证明跨文件一致性和修订传播具有明确需求；大型平台则拥有客户基础、受控文档体系和系统接口优势。TrialCompiler 的竞争策略因此需要同时回答两个问题：一是与直接竞品相比，为什么更适合中国药企的实际协作环境；二是与 Veeva、Medidata 等平台相比，为什么能够作为语义治理层与其互补，而不是重复建设既有系统。</w:t>
      </w:r>
    </w:p>
    <w:p w14:paraId="7FA2E2E2">
      <w:pPr>
        <w:pStyle w:val="62"/>
        <w:spacing w:before="120"/>
      </w:pPr>
      <w:r>
        <w:rPr>
          <w:rFonts w:hint="eastAsia" w:eastAsia="黑体"/>
        </w:rPr>
        <w:t>1</w:t>
      </w:r>
      <w:r>
        <w:rPr>
          <w:rFonts w:eastAsia="黑体"/>
        </w:rPr>
        <w:t>.2 竞争层级与代表产品</w:t>
      </w:r>
    </w:p>
    <w:p w14:paraId="26E6E75F">
      <w:pPr>
        <w:pStyle w:val="12"/>
        <w:keepNext/>
        <w:spacing w:before="60" w:after="60"/>
        <w:jc w:val="center"/>
        <w:rPr>
          <w:lang w:eastAsia="zh-CN"/>
        </w:rPr>
      </w:pPr>
      <w:r>
        <w:rPr>
          <w:rFonts w:ascii="Times New Roman" w:hAnsi="Times New Roman" w:eastAsia="仿宋_GB2312" w:cs="Times New Roman"/>
          <w:b/>
          <w:sz w:val="22"/>
          <w:lang w:eastAsia="zh-CN"/>
        </w:rPr>
        <w:t>表1 临床试验方案及关联文件领域的竞争层级</w:t>
      </w:r>
    </w:p>
    <w:tbl>
      <w:tblPr>
        <w:tblStyle w:val="2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948"/>
        <w:gridCol w:w="2494"/>
      </w:tblGrid>
      <w:tr w14:paraId="32595C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6F750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竞争层级</w:t>
            </w:r>
          </w:p>
        </w:tc>
        <w:tc>
          <w:tcPr>
            <w:tcW w:w="21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A7CB2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代表产品</w:t>
            </w:r>
          </w:p>
        </w:tc>
        <w:tc>
          <w:tcPr>
            <w:tcW w:w="21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EA131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主要价值</w:t>
            </w:r>
          </w:p>
        </w:tc>
        <w:tc>
          <w:tcPr>
            <w:tcW w:w="21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AAE30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对 TrialCompiler 的启示</w:t>
            </w:r>
          </w:p>
        </w:tc>
      </w:tr>
      <w:tr w14:paraId="61CAD5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C444C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直接协议智能平台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4E397">
            <w:pPr>
              <w:spacing w:line="276" w:lineRule="auto"/>
              <w:jc w:val="left"/>
            </w:pPr>
            <w:r>
              <w:rPr>
                <w:rFonts w:eastAsia="Noto Serif CJK SC"/>
                <w:sz w:val="21"/>
              </w:rPr>
              <w:t>HumanTrue、Cori Clinical、Clinials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BD260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协议结构化、生成、质量检查、修订协同和来源追踪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8165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必须在事实确认、企业规则、责任闭环和本土协作上形成更清晰差异</w:t>
            </w:r>
          </w:p>
        </w:tc>
      </w:tr>
      <w:tr w14:paraId="69F895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70F52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上游方案设计优化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96C7">
            <w:pPr>
              <w:spacing w:line="276" w:lineRule="auto"/>
              <w:jc w:val="left"/>
            </w:pPr>
            <w:r>
              <w:rPr>
                <w:rFonts w:eastAsia="Noto Serif CJK SC"/>
                <w:sz w:val="21"/>
              </w:rPr>
              <w:t>IQVIA、Medidata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C2FE7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利用历史数据、预测模型和专家服务评估方案可行性、复杂度及患者负担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68210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避免扩张为全流程方案设计平台，应接收上游确认后的设计结论</w:t>
            </w:r>
          </w:p>
        </w:tc>
      </w:tr>
      <w:tr w14:paraId="54905F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EBDE2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eastAsia="Noto Serif CJK SC"/>
                <w:b/>
                <w:sz w:val="21"/>
                <w:lang w:eastAsia="zh-CN"/>
              </w:rPr>
              <w:t>受控文档与临床运营平台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729DF">
            <w:pPr>
              <w:spacing w:line="276" w:lineRule="auto"/>
              <w:jc w:val="left"/>
            </w:pPr>
            <w:r>
              <w:rPr>
                <w:rFonts w:eastAsia="Noto Serif CJK SC"/>
                <w:sz w:val="21"/>
              </w:rPr>
              <w:t>Veeva Vault、太美医疗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E0E47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文档存储、权限、审批、审计以及临床运营协同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69CF6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应作为语义治理和变更协同层与其接口，而非替代底层系统</w:t>
            </w:r>
          </w:p>
        </w:tc>
      </w:tr>
      <w:tr w14:paraId="6EEFA7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B0064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标准与技术基础设施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AE3F4">
            <w:pPr>
              <w:spacing w:line="276" w:lineRule="auto"/>
              <w:jc w:val="left"/>
            </w:pPr>
            <w:r>
              <w:rPr>
                <w:rFonts w:eastAsia="Noto Serif CJK SC"/>
                <w:sz w:val="21"/>
              </w:rPr>
              <w:t>ICH M11、CDISC USDM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7E97F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定义结构化协议、数据模型、控制术语和互操作方向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58F84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事实模型应兼容行业标准，并保留企业特有规则和审批责任</w:t>
            </w:r>
          </w:p>
        </w:tc>
      </w:tr>
      <w:tr w14:paraId="2E0AA2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340B2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替代性解决方案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5E5AC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通用大模型、Word/邮件/飞书、企业自研智能体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8DED0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低成本完成检索、初稿、批注和局部自动化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8978C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需要用可追溯、可验证和跨文件闭环证明专业产品价值</w:t>
            </w:r>
          </w:p>
        </w:tc>
      </w:tr>
    </w:tbl>
    <w:p w14:paraId="69038EB8">
      <w:pPr>
        <w:pStyle w:val="62"/>
        <w:spacing w:before="120"/>
      </w:pPr>
      <w:r>
        <w:rPr>
          <w:rFonts w:hint="eastAsia" w:eastAsia="黑体"/>
        </w:rPr>
        <w:t>1</w:t>
      </w:r>
      <w:r>
        <w:rPr>
          <w:rFonts w:eastAsia="黑体"/>
        </w:rPr>
        <w:t>.3 竞争关系并非单一替代</w:t>
      </w:r>
    </w:p>
    <w:p w14:paraId="488706E1">
      <w:pPr>
        <w:ind w:firstLine="560"/>
        <w:rPr>
          <w:lang w:eastAsia="zh-CN"/>
        </w:rPr>
      </w:pPr>
      <w:r>
        <w:rPr>
          <w:lang w:eastAsia="zh-CN"/>
        </w:rPr>
        <w:t>上述产品并不处于完全相同的竞争位置。HumanTrue 与 Cori Clinical 更接近直接竞争，原因是其公开能力已经覆盖协议结构化、跨文档一致性、修订传播和审计协作；IQVIA、Medidata 和 Veeva 则更可能构成组合式竞争或合作关系。药企可以将上游设计优化工具、通用大模型、受控文档平台与人工流程组合起来，获得部分与 TrialCompiler 相似的效果。</w:t>
      </w:r>
    </w:p>
    <w:p w14:paraId="7F1FBE00">
      <w:pPr>
        <w:ind w:firstLine="560"/>
        <w:rPr>
          <w:lang w:eastAsia="zh-CN"/>
        </w:rPr>
      </w:pPr>
      <w:r>
        <w:rPr>
          <w:lang w:eastAsia="zh-CN"/>
        </w:rPr>
        <w:t>因此，TrialCompiler 面对的真实替代方案并不只是某一个软件，而是“现有平台加人工经验”的组合。该组合虽然效率有限，却具有熟悉、可控和迁移成本低的优势。产品若不能明显降低跨文件定位、审核返工和经验流失，就难以推动企业改变既有流程。竞争分析必须把组织习惯、数据权限、现有系统接口和人工责任纳入评价，而不能只比较功能清单。</w:t>
      </w:r>
    </w:p>
    <w:p w14:paraId="7FC90526">
      <w:pPr>
        <w:pStyle w:val="2"/>
      </w:pPr>
      <w:r>
        <w:rPr>
          <w:rFonts w:hint="eastAsia"/>
        </w:rPr>
        <w:t>二</w:t>
      </w:r>
      <w:r>
        <w:t>、直接竞品深度分析</w:t>
      </w:r>
    </w:p>
    <w:p w14:paraId="5DD78C72">
      <w:pPr>
        <w:pStyle w:val="62"/>
        <w:spacing w:before="120"/>
      </w:pPr>
      <w:r>
        <w:rPr>
          <w:rFonts w:hint="eastAsia" w:eastAsia="黑体"/>
        </w:rPr>
        <w:t>2</w:t>
      </w:r>
      <w:r>
        <w:rPr>
          <w:rFonts w:eastAsia="黑体"/>
        </w:rPr>
        <w:t>.1 HumanTrue：以协议完整性和依赖关系为核心</w:t>
      </w:r>
    </w:p>
    <w:p w14:paraId="3133E52E">
      <w:pPr>
        <w:ind w:firstLine="560"/>
      </w:pPr>
      <w:r>
        <w:rPr>
          <w:lang w:eastAsia="zh-CN"/>
        </w:rPr>
        <w:t>HumanTrue 的公开定位最接近“把协议转化为可计算对象”。其平台强调协议结构化、来源追踪、跨文档一致性、依赖关系管理、修订影响分析、定向再生成和重新验证，并公开支持 CDISC USDM、私有模型、加密和单点登录等企业部署能力。</w:t>
      </w:r>
      <w:r>
        <w:t>[1][2][3]</w:t>
      </w:r>
    </w:p>
    <w:p w14:paraId="2EEBE18A">
      <w:pPr>
        <w:ind w:firstLine="560"/>
        <w:rPr>
          <w:lang w:eastAsia="zh-CN"/>
        </w:rPr>
      </w:pPr>
      <w:r>
        <w:rPr>
          <w:lang w:eastAsia="zh-CN"/>
        </w:rPr>
        <w:t>其竞争优势来自对协议语义关系的深入处理。相较于通用写作工具，HumanTrue 已经把“修改一处后哪些内容需要重新验证”作为核心问题，说明事实依赖和修订传播并非 TrialCompiler 独有概念。对 TrialCompiler 而言，真正可形成差异的空间主要集中在中国法规和模板适配、企业 SOP 与审核规则治理、专业人员确认状态、飞书协作入口以及历史经验沉淀。上述差异需要通过产品实现和试点数据证明，不能仅依赖定位表述。</w:t>
      </w:r>
    </w:p>
    <w:p w14:paraId="2A383E15">
      <w:pPr>
        <w:pStyle w:val="62"/>
        <w:spacing w:before="120"/>
      </w:pPr>
      <w:r>
        <w:rPr>
          <w:rFonts w:hint="eastAsia" w:eastAsia="黑体"/>
        </w:rPr>
        <w:t>2</w:t>
      </w:r>
      <w:r>
        <w:rPr>
          <w:rFonts w:eastAsia="黑体"/>
        </w:rPr>
        <w:t>.2 Cori Clinical：以 Word 工作环境和文档协作为入口</w:t>
      </w:r>
    </w:p>
    <w:p w14:paraId="4AB26207">
      <w:pPr>
        <w:ind w:firstLine="560"/>
      </w:pPr>
      <w:r>
        <w:t>Cori Clinical 通过 Cori 与 ASSIST 覆盖临床文档起草、质量检查、审阅、修订同步、版本、权限和审计，并提供 Word 插件形态，使用户能够在熟悉的写作环境中调用生成、来源依据和多语言处理能力。[4][5]</w:t>
      </w:r>
    </w:p>
    <w:p w14:paraId="38677B70">
      <w:pPr>
        <w:ind w:firstLine="560"/>
        <w:rPr>
          <w:lang w:eastAsia="zh-CN"/>
        </w:rPr>
      </w:pPr>
      <w:r>
        <w:rPr>
          <w:lang w:eastAsia="zh-CN"/>
        </w:rPr>
        <w:t>其竞争优势在于较低的流程迁移阻力。临床团队长期依赖 Word 批注和文档版本，嵌入式产品能够减少培训成本，并与 Veeva 等受控环境衔接。TrialCompiler 若仅强调飞书入口而忽视 Word 和正式文档交付，可能在专业写作场景中处于不利位置。更合理的策略是让飞书承担任务通知、讨论、确认和审批，让 Word 或企业文档系统继续承担受控内容审阅与正式输出，从而形成分工明确的协同链条。</w:t>
      </w:r>
    </w:p>
    <w:p w14:paraId="74F749CE">
      <w:pPr>
        <w:pStyle w:val="62"/>
        <w:spacing w:before="120"/>
      </w:pPr>
      <w:r>
        <w:rPr>
          <w:rFonts w:hint="eastAsia" w:eastAsia="黑体"/>
        </w:rPr>
        <w:t>2</w:t>
      </w:r>
      <w:r>
        <w:rPr>
          <w:rFonts w:eastAsia="黑体"/>
        </w:rPr>
        <w:t>.3 Clinials：以协议编写和结构化生成提高首稿效率</w:t>
      </w:r>
    </w:p>
    <w:p w14:paraId="4DD76709">
      <w:pPr>
        <w:ind w:firstLine="560"/>
        <w:rPr>
          <w:lang w:eastAsia="zh-CN"/>
        </w:rPr>
      </w:pPr>
      <w:r>
        <w:rPr>
          <w:lang w:eastAsia="zh-CN"/>
        </w:rPr>
        <w:t>Clinials 公开强调协议抽取、结构化摘要、内容生成、来源追踪和封闭环境，产品价值更集中于协议编写效率和结构化内容生产。[6] 与 HumanTrue 和 Cori Clinical 相比，其公开资料对跨文件一致性、修订影响和责任审批的披露相对有限，但这不代表实际产品必然不具备相关能力。</w:t>
      </w:r>
    </w:p>
    <w:p w14:paraId="5B98A035">
      <w:pPr>
        <w:ind w:firstLine="560"/>
        <w:rPr>
          <w:lang w:eastAsia="zh-CN"/>
        </w:rPr>
      </w:pPr>
      <w:r>
        <w:rPr>
          <w:lang w:eastAsia="zh-CN"/>
        </w:rPr>
        <w:t>Clinials 代表了另一类重要竞争：当基础模型能够较好完成协议草稿、摘要和审阅建议时，客户可能认为单点写作工具已经足够。TrialCompiler 需要通过事实确认、变更影响、规则版本和审计责任说明为什么临床方案管理不能停留在生成层，同时避免将产品范围扩大为所有临床文档的一键生成平台。</w:t>
      </w:r>
    </w:p>
    <w:p w14:paraId="0946E63A">
      <w:pPr>
        <w:pStyle w:val="2"/>
      </w:pPr>
      <w:r>
        <w:rPr>
          <w:rFonts w:hint="eastAsia"/>
        </w:rPr>
        <w:t>三</w:t>
      </w:r>
      <w:r>
        <w:t>、相邻竞品与替代方案</w:t>
      </w:r>
    </w:p>
    <w:p w14:paraId="7FFAF1CB">
      <w:pPr>
        <w:pStyle w:val="62"/>
        <w:spacing w:before="120"/>
      </w:pPr>
      <w:r>
        <w:rPr>
          <w:rFonts w:hint="eastAsia" w:eastAsia="黑体"/>
        </w:rPr>
        <w:t>3</w:t>
      </w:r>
      <w:r>
        <w:rPr>
          <w:rFonts w:eastAsia="黑体"/>
        </w:rPr>
        <w:t>.1 IQVIA 与 Medidata：占据方案设计上游</w:t>
      </w:r>
    </w:p>
    <w:p w14:paraId="591AF7D3">
      <w:pPr>
        <w:ind w:firstLine="560"/>
        <w:rPr>
          <w:lang w:eastAsia="zh-CN"/>
        </w:rPr>
      </w:pPr>
      <w:r>
        <w:t>IQVIA Protocol Design Optimization 依托数据与专家服务评估方案复杂度、患者负担、中心可行性和研究执行风险；Medidata Protocol Optimization 则利用跨申办方数据、预测建模和情景模拟，评估设计变化对入组、成本以及中心和患者负担的影响。</w:t>
      </w:r>
      <w:r>
        <w:rPr>
          <w:lang w:eastAsia="zh-CN"/>
        </w:rPr>
        <w:t>[7][8] 两者解决的是“方案应如何设计”的上游问题，TrialCompiler 主要解决“已形成的设计事实如何进入文档、系统并在变更后保持一致”的下游治理问题。</w:t>
      </w:r>
    </w:p>
    <w:p w14:paraId="7AA235E3">
      <w:pPr>
        <w:ind w:firstLine="560"/>
        <w:rPr>
          <w:lang w:eastAsia="zh-CN"/>
        </w:rPr>
      </w:pPr>
      <w:r>
        <w:rPr>
          <w:lang w:eastAsia="zh-CN"/>
        </w:rPr>
        <w:t>二者既可能成为相邻竞品，也可能成为上游数据和决策来源。TrialCompiler 不宜在早期复制其大型数据资产和咨询能力，而应建立标准接口，接收经医学、统计和注册人员确认的设计结论，再将其编译为 Protocol、SoA、SAP、ICF、CRF 等受控输出。这样能够保持产品边界，并减少与成熟方案设计平台的正面竞争。</w:t>
      </w:r>
    </w:p>
    <w:p w14:paraId="3BFA364F">
      <w:pPr>
        <w:pStyle w:val="62"/>
        <w:spacing w:before="120"/>
      </w:pPr>
      <w:r>
        <w:rPr>
          <w:rFonts w:hint="eastAsia" w:eastAsia="黑体"/>
        </w:rPr>
        <w:t>3</w:t>
      </w:r>
      <w:r>
        <w:rPr>
          <w:rFonts w:eastAsia="黑体"/>
        </w:rPr>
        <w:t>.2 Veeva Vault：控制受控文档和质量流程</w:t>
      </w:r>
    </w:p>
    <w:p w14:paraId="09023D4F">
      <w:pPr>
        <w:ind w:firstLine="560"/>
        <w:rPr>
          <w:lang w:eastAsia="zh-CN"/>
        </w:rPr>
      </w:pPr>
      <w:r>
        <w:rPr>
          <w:lang w:eastAsia="zh-CN"/>
        </w:rPr>
        <w:t>Veeva Vault eTMF 在文档收集、审阅、质控、权限、审批和审计追踪方面具有成熟能力。[9] 对大型药企而言，正式文件最终仍需进入受控文档或质量体系，任何新工具都难以绕开现有系统。Veeva 的优势来自客户基础、流程稳定性和质量体系嵌入，而其公开定位并不以协议语义依赖和跨文件变更传播为核心。</w:t>
      </w:r>
    </w:p>
    <w:p w14:paraId="35F6B38D">
      <w:pPr>
        <w:ind w:firstLine="560"/>
        <w:rPr>
          <w:lang w:eastAsia="zh-CN"/>
        </w:rPr>
      </w:pPr>
      <w:r>
        <w:rPr>
          <w:lang w:eastAsia="zh-CN"/>
        </w:rPr>
        <w:t>TrialCompiler 更适合作为 Veeva 等平台之上的语义治理层：在正式发布前完成事实确认、一致性测试和影响分析，在批准后将受控版本及审计信息回写企业系统。若产品试图同时承担 eTMF、DMS 和临床文档智能化全部功能，将显著增加验证、集成和合规成本，也会削弱核心差异。</w:t>
      </w:r>
    </w:p>
    <w:p w14:paraId="5452F65F">
      <w:pPr>
        <w:pStyle w:val="62"/>
        <w:spacing w:before="120"/>
      </w:pPr>
      <w:r>
        <w:rPr>
          <w:rFonts w:hint="eastAsia" w:eastAsia="黑体"/>
        </w:rPr>
        <w:t>3</w:t>
      </w:r>
      <w:r>
        <w:rPr>
          <w:rFonts w:eastAsia="黑体"/>
        </w:rPr>
        <w:t>.3 太美医疗：本土客户和临床运营协同优势</w:t>
      </w:r>
    </w:p>
    <w:p w14:paraId="0DC285AA">
      <w:pPr>
        <w:ind w:firstLine="560"/>
        <w:rPr>
          <w:lang w:eastAsia="zh-CN"/>
        </w:rPr>
      </w:pPr>
      <w:r>
        <w:rPr>
          <w:lang w:eastAsia="zh-CN"/>
        </w:rPr>
        <w:t>太美医疗 Wiz-iCTA 面向国内临床运营提供文档分类、质控、命名和属性填写等智能能力，并具备本土客户、临床运营流程和系统集成基础。[10] 其优势不一定来自某一项协议智能功能，而来自对中国临床运营场景、客户需求和交付体系的理解。</w:t>
      </w:r>
    </w:p>
    <w:p w14:paraId="7A8E747D">
      <w:pPr>
        <w:ind w:firstLine="560"/>
        <w:rPr>
          <w:lang w:eastAsia="zh-CN"/>
        </w:rPr>
      </w:pPr>
      <w:r>
        <w:rPr>
          <w:lang w:eastAsia="zh-CN"/>
        </w:rPr>
        <w:t>这意味着“本土化”不能只停留在中文界面或法规名称。TrialCompiler 需要进一步处理中国药企常用模板、NMPA 申报语境、企业 SOP、角色权限、内网部署和飞书协作习惯，并在实际项目中形成可衡量的价值。若缺乏内部数据和试点验证，本土化仍然只是概念性优势。</w:t>
      </w:r>
    </w:p>
    <w:p w14:paraId="4617E648">
      <w:pPr>
        <w:pStyle w:val="62"/>
        <w:spacing w:before="120"/>
      </w:pPr>
      <w:r>
        <w:rPr>
          <w:rFonts w:hint="eastAsia" w:eastAsia="黑体"/>
        </w:rPr>
        <w:t>3</w:t>
      </w:r>
      <w:r>
        <w:rPr>
          <w:rFonts w:eastAsia="黑体"/>
        </w:rPr>
        <w:t>.4 通用大模型、人工流程与企业自研智能体</w:t>
      </w:r>
    </w:p>
    <w:p w14:paraId="1DEA3033">
      <w:pPr>
        <w:ind w:firstLine="560"/>
        <w:rPr>
          <w:lang w:eastAsia="zh-CN"/>
        </w:rPr>
      </w:pPr>
      <w:r>
        <w:rPr>
          <w:lang w:eastAsia="zh-CN"/>
        </w:rPr>
        <w:t>通用大模型配合 Word、邮件、飞书和企业知识库，可以低成本完成资料检索、文本生成、问题汇总和通知提醒，是最容易被忽视的替代方案。企业也可能基于现有大模型平台自行开发协议助手，将其嵌入内部权限和数据环境。该类方案在单点任务上具有成本低、迭代快和数据可控的优势。</w:t>
      </w:r>
    </w:p>
    <w:p w14:paraId="3C47D86A">
      <w:pPr>
        <w:ind w:firstLine="560"/>
        <w:rPr>
          <w:lang w:eastAsia="zh-CN"/>
        </w:rPr>
      </w:pPr>
      <w:r>
        <w:rPr>
          <w:lang w:eastAsia="zh-CN"/>
        </w:rPr>
        <w:t>专业产品的价值必须体现在通用方案难以稳定实现的部分，包括经确认事实的唯一状态、事实到章节和关联文件的依赖、确定性规则与语义检查组合、修订影响矩阵、审批责任以及完整审计记录。TrialCompiler 还需要证明其能够将历史方案、监管反馈、审核批注和质量问题转化为带有来源与适用范围的知识，而不是简单将旧文档放入检索库。</w:t>
      </w:r>
    </w:p>
    <w:p w14:paraId="2B4623B7">
      <w:pPr>
        <w:pStyle w:val="2"/>
      </w:pPr>
      <w:r>
        <w:rPr>
          <w:rFonts w:hint="eastAsia"/>
        </w:rPr>
        <w:t>四</w:t>
      </w:r>
      <w:r>
        <w:t>、核心能力维度与市场空白</w:t>
      </w:r>
    </w:p>
    <w:p w14:paraId="3CD4E8B7">
      <w:pPr>
        <w:pStyle w:val="62"/>
        <w:spacing w:before="120"/>
      </w:pPr>
      <w:r>
        <w:rPr>
          <w:rFonts w:hint="eastAsia" w:eastAsia="黑体"/>
        </w:rPr>
        <w:t>4</w:t>
      </w:r>
      <w:r>
        <w:rPr>
          <w:rFonts w:eastAsia="黑体"/>
        </w:rPr>
        <w:t>.1 结构化事实与来源追溯</w:t>
      </w:r>
    </w:p>
    <w:p w14:paraId="4EF08806">
      <w:pPr>
        <w:ind w:firstLine="560"/>
        <w:rPr>
          <w:lang w:eastAsia="zh-CN"/>
        </w:rPr>
      </w:pPr>
      <w:r>
        <w:rPr>
          <w:lang w:eastAsia="zh-CN"/>
        </w:rPr>
        <w:t>直接竞品普遍已经强调协议结构化和来源定位，说明这一能力正在成为市场基础。TrialCompiler 的进一步区分点应放在“候选事实”和“已确认事实”的状态分离：模型抽取的内容只能作为候选，经医学、统计、注册或运营责任人确认后，才进入受控生成和变更传播。这样能够把人工责任直接嵌入事实层，而不是在文档生成后再进行笼统复核。</w:t>
      </w:r>
    </w:p>
    <w:p w14:paraId="7C9F3C52">
      <w:pPr>
        <w:pStyle w:val="62"/>
        <w:spacing w:before="120"/>
      </w:pPr>
      <w:r>
        <w:rPr>
          <w:rFonts w:hint="eastAsia" w:eastAsia="黑体"/>
        </w:rPr>
        <w:t>4</w:t>
      </w:r>
      <w:r>
        <w:rPr>
          <w:rFonts w:eastAsia="黑体"/>
        </w:rPr>
        <w:t>.2 跨文件一致性与变更闭环</w:t>
      </w:r>
    </w:p>
    <w:p w14:paraId="03DA1672">
      <w:pPr>
        <w:ind w:firstLine="560"/>
        <w:rPr>
          <w:lang w:eastAsia="zh-CN"/>
        </w:rPr>
      </w:pPr>
      <w:r>
        <w:rPr>
          <w:lang w:eastAsia="zh-CN"/>
        </w:rPr>
        <w:t>HumanTrue 和 Cori Clinical 已经公开跨文档一致性、修订同步或影响分析能力，TrialCompiler 不能将“发现受影响位置”单独包装为核心壁垒。更具差异性的方向是把影响识别与任务执行连接起来：系统生成影响矩阵后，明确受影响文件、风险等级、责任人、确认状态、审批节点和重新验证结果，直到所有变更任务关闭。竞争价值由“提示问题”进一步延伸到“推动问题在组织内被处理完成”。</w:t>
      </w:r>
    </w:p>
    <w:p w14:paraId="609BC23E">
      <w:pPr>
        <w:pStyle w:val="62"/>
        <w:spacing w:before="120"/>
      </w:pPr>
      <w:r>
        <w:rPr>
          <w:rFonts w:hint="eastAsia" w:eastAsia="黑体"/>
        </w:rPr>
        <w:t>4</w:t>
      </w:r>
      <w:r>
        <w:rPr>
          <w:rFonts w:eastAsia="黑体"/>
        </w:rPr>
        <w:t>.3 企业规则与历史经验复用</w:t>
      </w:r>
    </w:p>
    <w:p w14:paraId="5277B284">
      <w:pPr>
        <w:ind w:firstLine="560"/>
        <w:rPr>
          <w:lang w:eastAsia="zh-CN"/>
        </w:rPr>
      </w:pPr>
      <w:r>
        <w:rPr>
          <w:lang w:eastAsia="zh-CN"/>
        </w:rPr>
        <w:t>临床方案审核依赖法规、指南和企业 SOP，也依赖大量散落在历史方案、Word 批注、邮件、会议纪要、监管反馈、偏差记录和质量问题单中的经验。现有产品公开资料多强调生成、检查和版本协作，对这些经验如何形成带有来源、版本、适用范围、责任人和例外说明的组织知识，披露相对有限。</w:t>
      </w:r>
    </w:p>
    <w:p w14:paraId="550864AB">
      <w:pPr>
        <w:ind w:firstLine="560"/>
        <w:rPr>
          <w:lang w:eastAsia="zh-CN"/>
        </w:rPr>
      </w:pPr>
      <w:r>
        <w:rPr>
          <w:lang w:eastAsia="zh-CN"/>
        </w:rPr>
        <w:t>这一问题为 TrialCompiler 提供了更具组织黏性的竞争空间。系统可以把经确认的审核意见、处理依据和最终结论沉淀为可版本化规则或案例，在新项目中根据治疗领域、试验阶段、监管地区和文件类型提供候选提示。系统仍需由专业人员判断其是否适用于当前项目，避免把历史表述机械复制到新的研究场景。</w:t>
      </w:r>
    </w:p>
    <w:p w14:paraId="3E0AD17B">
      <w:pPr>
        <w:pStyle w:val="62"/>
        <w:spacing w:before="120"/>
      </w:pPr>
      <w:r>
        <w:rPr>
          <w:rFonts w:hint="eastAsia" w:eastAsia="黑体"/>
        </w:rPr>
        <w:t>4</w:t>
      </w:r>
      <w:r>
        <w:rPr>
          <w:rFonts w:eastAsia="黑体"/>
        </w:rPr>
        <w:t>.4 责任审批、审计与中国药企协作环境</w:t>
      </w:r>
    </w:p>
    <w:p w14:paraId="401341F6">
      <w:pPr>
        <w:ind w:firstLine="560"/>
        <w:rPr>
          <w:lang w:eastAsia="zh-CN"/>
        </w:rPr>
      </w:pPr>
      <w:r>
        <w:rPr>
          <w:lang w:eastAsia="zh-CN"/>
        </w:rPr>
        <w:t>临床文档的风险并不止于文字错误。模型是否可以修改正式文件、谁确认关键事实、谁批准高风险变更、规则依据何时更新，都需要可追溯记录。海外直接竞品已经具备不同程度的权限和审计能力，TrialCompiler 的本土机会主要来自把医学、统计、注册、运营、数据和质量角色嵌入飞书任务、审批和通知流程，并与企业私有化部署、项目隔离和最小权限结合。</w:t>
      </w:r>
    </w:p>
    <w:p w14:paraId="3DD651E2">
      <w:pPr>
        <w:ind w:firstLine="560"/>
        <w:rPr>
          <w:lang w:eastAsia="zh-CN"/>
        </w:rPr>
      </w:pPr>
      <w:r>
        <w:rPr>
          <w:lang w:eastAsia="zh-CN"/>
        </w:rPr>
        <w:t>飞书原生协同本身并非长期壁垒。其价值取决于是否真正承载责任状态和业务证据，而不是仅提供聊天入口。产品需要支持从飞书进入任务，也要能够回到 Word、DMS、eTMF 或其他受控系统完成正式审阅和发布。</w:t>
      </w:r>
    </w:p>
    <w:p w14:paraId="62102AEF">
      <w:pPr>
        <w:pStyle w:val="2"/>
      </w:pPr>
      <w:r>
        <w:rPr>
          <w:rFonts w:hint="eastAsia"/>
        </w:rPr>
        <w:t>五</w:t>
      </w:r>
      <w:r>
        <w:t>、TrialCompiler 的竞争定位与优势</w:t>
      </w:r>
    </w:p>
    <w:p w14:paraId="214BF8E1">
      <w:pPr>
        <w:pStyle w:val="62"/>
        <w:spacing w:before="120"/>
      </w:pPr>
      <w:r>
        <w:rPr>
          <w:rFonts w:hint="eastAsia" w:eastAsia="黑体"/>
        </w:rPr>
        <w:t>5</w:t>
      </w:r>
      <w:r>
        <w:rPr>
          <w:rFonts w:eastAsia="黑体"/>
        </w:rPr>
        <w:t>.1 产品定位</w:t>
      </w:r>
    </w:p>
    <w:p w14:paraId="7A979259">
      <w:pPr>
        <w:ind w:firstLine="560"/>
        <w:rPr>
          <w:lang w:eastAsia="zh-CN"/>
        </w:rPr>
      </w:pPr>
      <w:r>
        <w:rPr>
          <w:lang w:eastAsia="zh-CN"/>
        </w:rPr>
        <w:t>综合竞争格局，TrialCompiler 更适合定位为“面向中国药企的临床方案事实与变更治理层”。它不替代医学、统计和注册人员进行研究设计，也不取代 Veeva 等受控文档平台；其核心职责是把经专业人员确认的关键事实、引用位置、企业规则、历史经验、变更影响和批准责任连接起来，驱动方案及关联文件安全编制与增量更新。</w:t>
      </w:r>
    </w:p>
    <w:p w14:paraId="23D64C88">
      <w:pPr>
        <w:ind w:firstLine="560"/>
        <w:rPr>
          <w:lang w:eastAsia="zh-CN"/>
        </w:rPr>
      </w:pPr>
      <w:r>
        <w:rPr>
          <w:lang w:eastAsia="zh-CN"/>
        </w:rPr>
        <w:t>这一定位将产品从通用写作工具中区分出来，也避免与大型临床数据平台和 eTMF 系统全面竞争。TrialCompiler 可以位于上游设计决策与下游受控系统之间：上游接收研究策略、统计结论和监管意见，下游输出 Protocol、Synopsis、SoA、ICF、SAP、CRF/eCRF 及相应影响清单，并保留人工确认和审计证据。</w:t>
      </w:r>
    </w:p>
    <w:p w14:paraId="6F42BBF8">
      <w:pPr>
        <w:pStyle w:val="62"/>
        <w:spacing w:before="120"/>
      </w:pPr>
      <w:r>
        <w:rPr>
          <w:rFonts w:hint="eastAsia" w:eastAsia="黑体"/>
        </w:rPr>
        <w:t>5</w:t>
      </w:r>
      <w:r>
        <w:rPr>
          <w:rFonts w:eastAsia="黑体"/>
        </w:rPr>
        <w:t>.2 建议构建的差异化支点</w:t>
      </w:r>
    </w:p>
    <w:p w14:paraId="6E320CA1">
      <w:pPr>
        <w:pStyle w:val="12"/>
        <w:keepNext/>
        <w:spacing w:before="60" w:after="60"/>
        <w:jc w:val="center"/>
      </w:pPr>
      <w:r>
        <w:rPr>
          <w:rFonts w:ascii="Times New Roman" w:hAnsi="Times New Roman" w:eastAsia="仿宋_GB2312" w:cs="Times New Roman"/>
          <w:b/>
          <w:sz w:val="22"/>
        </w:rPr>
        <w:t>表2 TrialCompiler 建议构建的竞争优势</w:t>
      </w:r>
    </w:p>
    <w:tbl>
      <w:tblPr>
        <w:tblStyle w:val="2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551"/>
        <w:gridCol w:w="3005"/>
        <w:gridCol w:w="2183"/>
      </w:tblGrid>
      <w:tr w14:paraId="61C355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B8024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差异化支点</w:t>
            </w:r>
          </w:p>
        </w:tc>
        <w:tc>
          <w:tcPr>
            <w:tcW w:w="2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F9E19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市场现状</w:t>
            </w:r>
          </w:p>
        </w:tc>
        <w:tc>
          <w:tcPr>
            <w:tcW w:w="2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107B0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TrialCompiler 拟构建方式</w:t>
            </w:r>
          </w:p>
        </w:tc>
        <w:tc>
          <w:tcPr>
            <w:tcW w:w="21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0C647">
            <w:pPr>
              <w:spacing w:line="240" w:lineRule="auto"/>
              <w:jc w:val="center"/>
            </w:pPr>
            <w:r>
              <w:rPr>
                <w:rFonts w:eastAsia="Noto Serif CJK SC"/>
                <w:b/>
                <w:sz w:val="21"/>
              </w:rPr>
              <w:t>竞争价值</w:t>
            </w:r>
          </w:p>
        </w:tc>
      </w:tr>
      <w:tr w14:paraId="2DC9F2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F3DF0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已确认事实层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7CF8A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市场普遍强调抽取、生成与校验，对专业确认状态的公开披露较少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1D98A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区分候选、待确认、已确认和已变更状态，仅允许已确认事实进入受控输出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37F5D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把人工责任前置到事实层，降低模型静默改写风险</w:t>
            </w:r>
          </w:p>
        </w:tc>
      </w:tr>
      <w:tr w14:paraId="3092F3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33D31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变更任务闭环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6188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部分直接竞品已具备依赖图、修订影响和定向更新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D8B5B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将影响矩阵与责任人、审批、完成状态及重新验证结果连接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7D995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竞争从识别影响延伸到推动影响处理完成</w:t>
            </w:r>
          </w:p>
        </w:tc>
      </w:tr>
      <w:tr w14:paraId="3D83BA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2B08A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规则与经验资产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B5A39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法规、SOP、批注和历史经验分散，适用范围难判断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1307A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沉淀带来源、版本、适用条件和责任人的规则与案例库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D5DC9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形成难以被通用模型复制的组织知识资产</w:t>
            </w:r>
          </w:p>
        </w:tc>
      </w:tr>
      <w:tr w14:paraId="2F33BE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8727F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中国药企适配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D20AB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海外产品对中国模板、术语、部署和协作环境公开适配有限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B123E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适配 NMPA/ICH、企业模板和 SOP，支持私有化、项目隔离与飞书协同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7BCD3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降低部署迁移和合规沟通成本</w:t>
            </w:r>
          </w:p>
        </w:tc>
      </w:tr>
      <w:tr w14:paraId="6E8AE7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F1CA">
            <w:pPr>
              <w:spacing w:line="276" w:lineRule="auto"/>
              <w:jc w:val="center"/>
            </w:pPr>
            <w:r>
              <w:rPr>
                <w:rFonts w:eastAsia="Noto Serif CJK SC"/>
                <w:b/>
                <w:sz w:val="21"/>
              </w:rPr>
              <w:t>开放接口与边界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BC28D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大型平台已控制设计数据、文档存储和审计流程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371EB">
            <w:pPr>
              <w:spacing w:line="276" w:lineRule="auto"/>
              <w:jc w:val="left"/>
            </w:pPr>
            <w:r>
              <w:rPr>
                <w:rFonts w:eastAsia="Noto Serif CJK SC"/>
                <w:sz w:val="21"/>
              </w:rPr>
              <w:t>与 Word、DMS、eTMF、EDC 等系统接口，不重复建设成熟底座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5FDEB">
            <w:pPr>
              <w:spacing w:line="276" w:lineRule="auto"/>
              <w:jc w:val="left"/>
              <w:rPr>
                <w:lang w:eastAsia="zh-CN"/>
              </w:rPr>
            </w:pPr>
            <w:r>
              <w:rPr>
                <w:rFonts w:eastAsia="Noto Serif CJK SC"/>
                <w:sz w:val="21"/>
                <w:lang w:eastAsia="zh-CN"/>
              </w:rPr>
              <w:t>以轻量治理层进入现有生态，降低客户替换阻力</w:t>
            </w:r>
          </w:p>
        </w:tc>
      </w:tr>
    </w:tbl>
    <w:p w14:paraId="61CDDC65">
      <w:pPr>
        <w:pStyle w:val="62"/>
        <w:spacing w:before="120"/>
      </w:pPr>
      <w:r>
        <w:rPr>
          <w:rFonts w:hint="eastAsia" w:eastAsia="黑体"/>
        </w:rPr>
        <w:t>5</w:t>
      </w:r>
      <w:r>
        <w:rPr>
          <w:rFonts w:eastAsia="黑体"/>
        </w:rPr>
        <w:t>.3 竞争优势需要通过试点验证</w:t>
      </w:r>
    </w:p>
    <w:p w14:paraId="318CFB44">
      <w:pPr>
        <w:ind w:firstLine="560"/>
        <w:rPr>
          <w:lang w:eastAsia="zh-CN"/>
        </w:rPr>
      </w:pPr>
      <w:r>
        <w:rPr>
          <w:lang w:eastAsia="zh-CN"/>
        </w:rPr>
        <w:t>上述优势目前属于产品设计方向，尚不能直接作为已经实现的能力或收益。开题阶段应将其转化为可验证指标，包括关键事实抽取准确率、影响位置召回率、旧值残留检出率、规则提示确认率、人工修订工时、审核轮次和审计追溯完整率。只有在健康元内部项目中建立基线并完成对照试点，才能判断本土规则、飞书协同和经验复用是否真正形成竞争优势。</w:t>
      </w:r>
    </w:p>
    <w:p w14:paraId="08901AC0">
      <w:pPr>
        <w:pStyle w:val="2"/>
      </w:pPr>
      <w:r>
        <w:rPr>
          <w:rFonts w:hint="eastAsia"/>
        </w:rPr>
        <w:t>六</w:t>
      </w:r>
      <w:r>
        <w:t>、可守住的竞争壁垒</w:t>
      </w:r>
    </w:p>
    <w:p w14:paraId="1B5EF053">
      <w:pPr>
        <w:pStyle w:val="62"/>
        <w:spacing w:before="120"/>
      </w:pPr>
      <w:r>
        <w:rPr>
          <w:rFonts w:hint="eastAsia" w:eastAsia="黑体"/>
        </w:rPr>
        <w:t>6</w:t>
      </w:r>
      <w:r>
        <w:rPr>
          <w:rFonts w:eastAsia="黑体"/>
        </w:rPr>
        <w:t>.1 规则与知识资产壁垒</w:t>
      </w:r>
    </w:p>
    <w:p w14:paraId="243658F3">
      <w:pPr>
        <w:ind w:firstLine="560"/>
        <w:rPr>
          <w:lang w:eastAsia="zh-CN"/>
        </w:rPr>
      </w:pPr>
      <w:r>
        <w:rPr>
          <w:lang w:eastAsia="zh-CN"/>
        </w:rPr>
        <w:t>模型和生成能力会持续商品化，单纯依赖提示词和基础模型难以形成长期壁垒。更可守住的资产是经过企业确认的事实模型、规则版本、审核案例和适用范围。随着项目积累，TrialCompiler 可以逐步形成治疗领域、试验阶段和文件类型特异的知识层，并通过专家确认保持质量。</w:t>
      </w:r>
    </w:p>
    <w:p w14:paraId="53FF2FFA">
      <w:pPr>
        <w:pStyle w:val="62"/>
        <w:spacing w:before="120"/>
      </w:pPr>
      <w:r>
        <w:rPr>
          <w:rFonts w:hint="eastAsia" w:eastAsia="黑体"/>
        </w:rPr>
        <w:t>6</w:t>
      </w:r>
      <w:r>
        <w:rPr>
          <w:rFonts w:eastAsia="黑体"/>
        </w:rPr>
        <w:t>.2 工作流嵌入与组织黏性</w:t>
      </w:r>
    </w:p>
    <w:p w14:paraId="7FE07184">
      <w:pPr>
        <w:ind w:firstLine="560"/>
        <w:rPr>
          <w:lang w:eastAsia="zh-CN"/>
        </w:rPr>
      </w:pPr>
      <w:r>
        <w:rPr>
          <w:lang w:eastAsia="zh-CN"/>
        </w:rPr>
        <w:t>当系统承担事实确认、任务分派、审批和审计记录后，其价值会与组织流程结合。用户不再只是调用一次生成工具，而是在日常方案编制和修订中持续使用同一事实层与责任状态。这种工作流嵌入能够提高迁移成本，但前提是产品不增加额外重复录入，并能够与现有 Word、飞书和受控系统协同。</w:t>
      </w:r>
    </w:p>
    <w:p w14:paraId="606FE424">
      <w:pPr>
        <w:pStyle w:val="62"/>
        <w:spacing w:before="120"/>
      </w:pPr>
      <w:r>
        <w:rPr>
          <w:rFonts w:hint="eastAsia" w:eastAsia="黑体"/>
        </w:rPr>
        <w:t>6</w:t>
      </w:r>
      <w:r>
        <w:rPr>
          <w:rFonts w:eastAsia="黑体"/>
        </w:rPr>
        <w:t>.3 验证数据与可信度壁垒</w:t>
      </w:r>
    </w:p>
    <w:p w14:paraId="3F90176A">
      <w:pPr>
        <w:ind w:firstLine="560"/>
        <w:rPr>
          <w:lang w:eastAsia="zh-CN"/>
        </w:rPr>
      </w:pPr>
      <w:r>
        <w:rPr>
          <w:lang w:eastAsia="zh-CN"/>
        </w:rPr>
        <w:t>临床文档工具的可信度需要由验证数据支持。针对事实抽取、语义冲突、修订影响和规则检查建立标准测试集，并记录不同文件类型、治疗领域和风险等级下的漏检与误报，可以形成比通用模型演示更难复制的质量证据。高风险场景还应明确上线阈值、人工复核和回退机制。</w:t>
      </w:r>
    </w:p>
    <w:p w14:paraId="15DF0B49">
      <w:pPr>
        <w:pStyle w:val="62"/>
        <w:spacing w:before="120"/>
      </w:pPr>
      <w:r>
        <w:rPr>
          <w:rFonts w:hint="eastAsia" w:eastAsia="黑体"/>
        </w:rPr>
        <w:t>6</w:t>
      </w:r>
      <w:r>
        <w:rPr>
          <w:rFonts w:eastAsia="黑体"/>
        </w:rPr>
        <w:t>.4 生态接口壁垒</w:t>
      </w:r>
    </w:p>
    <w:p w14:paraId="28C0B7D4">
      <w:pPr>
        <w:ind w:firstLine="560"/>
        <w:rPr>
          <w:lang w:eastAsia="zh-CN"/>
        </w:rPr>
      </w:pPr>
      <w:r>
        <w:rPr>
          <w:lang w:eastAsia="zh-CN"/>
        </w:rPr>
        <w:t>TrialCompiler 不应以封闭平台为目标。与上游方案设计工具、企业知识源、Word、DMS、eTMF、EDC 和飞书形成稳定接口，可以降低客户采用阻力，并使事实与变更治理成为不同系统之间的连接层。接口标准、权限映射和受控发布能力在企业实施中具有较高工程门槛，也能够增强产品黏性。</w:t>
      </w:r>
    </w:p>
    <w:p w14:paraId="036B2BE2">
      <w:pPr>
        <w:pStyle w:val="2"/>
      </w:pPr>
      <w:r>
        <w:rPr>
          <w:rFonts w:hint="eastAsia"/>
        </w:rPr>
        <w:t>七</w:t>
      </w:r>
      <w:r>
        <w:t>、结论</w:t>
      </w:r>
    </w:p>
    <w:p w14:paraId="417F35E6">
      <w:pPr>
        <w:ind w:firstLine="560"/>
        <w:rPr>
          <w:lang w:eastAsia="zh-CN"/>
        </w:rPr>
      </w:pPr>
      <w:r>
        <w:rPr>
          <w:lang w:eastAsia="zh-CN"/>
        </w:rPr>
        <w:t>临床试验方案人工智能市场已经从单点写作进入结构化事实、跨文档一致性、修订影响和企业治理并行竞争的阶段。HumanTrue 与 Cori Clinical 在直接能力上具有较高重叠度；Clinials 代表协议生成和结构化编写竞争；IQVIA、Medidata、Veeva Vault 及太美医疗分别控制上游设计、受控文档和本土运营场景；通用大模型与企业自研则构成成本较低的替代方案。</w:t>
      </w:r>
    </w:p>
    <w:p w14:paraId="61825350">
      <w:pPr>
        <w:ind w:firstLine="560"/>
        <w:rPr>
          <w:rFonts w:hint="eastAsia"/>
          <w:lang w:eastAsia="zh-CN"/>
        </w:rPr>
      </w:pPr>
      <w:r>
        <w:rPr>
          <w:lang w:eastAsia="zh-CN"/>
        </w:rPr>
        <w:t>TrialCompiler 的可守竞争位置应集中于中国药企临床方案事实与变更治理：以经专业人员确认的关键事实作为单一可信来源，连接方案及关联文件的引用位置；以企业规则和历史经验执行一致性测试；在事实变化后生成影响矩阵，并将更新、复核、审批和审计记录组织为闭环。该定位既承认市场已有能力，也能够把产品价值落到现有工具尚未充分连接的组织流程上</w:t>
      </w:r>
      <w:r>
        <w:rPr>
          <w:rFonts w:hint="eastAsia"/>
          <w:lang w:eastAsia="zh-CN"/>
        </w:rPr>
        <w:t>。</w:t>
      </w:r>
    </w:p>
    <w:p w14:paraId="5FC30CE3">
      <w:pPr>
        <w:ind w:firstLine="550" w:firstLineChars="200"/>
        <w:rPr>
          <w:lang w:eastAsia="zh-CN"/>
        </w:rPr>
      </w:pPr>
      <w:r>
        <w:rPr>
          <w:lang w:eastAsia="zh-CN"/>
        </w:rPr>
        <w:t>TrialCompiler 不是通用医学写作助手，也不是新的 eTMF。它是面向中国药企的临床方案事实与变更治理层，以经专业人员确认的研究事实驱动方案及关联文件编制，用企业规则和历史经验测试一致性，以影响矩阵组织修订，并在飞书与受控文档环境之间完成责任确认、审批和审计留痕。</w:t>
      </w:r>
    </w:p>
    <w:p w14:paraId="58D23EB9">
      <w:pPr>
        <w:pStyle w:val="2"/>
      </w:pPr>
      <w:r>
        <w:t>附：主要资料来源</w:t>
      </w:r>
    </w:p>
    <w:p w14:paraId="14BD2C61">
      <w:pPr>
        <w:rPr>
          <w:lang w:eastAsia="zh-CN"/>
        </w:rPr>
      </w:pPr>
      <w:r>
        <w:rPr>
          <w:lang w:eastAsia="zh-CN"/>
        </w:rPr>
        <w:t>本附件以企业官网、监管机构和标准组织公开资料为主要依据。能力判断仅代表截至核验日的公开披露情况；厂商未公开的信息不推断为产品实际不具备。</w:t>
      </w:r>
    </w:p>
    <w:p w14:paraId="385C51AA">
      <w:pPr>
        <w:spacing w:after="80" w:line="240" w:lineRule="auto"/>
        <w:jc w:val="left"/>
      </w:pPr>
      <w:r>
        <w:fldChar w:fldCharType="begin"/>
      </w:r>
      <w:r>
        <w:instrText xml:space="preserve"> HYPERLINK "https://humantrue.com/" \h </w:instrText>
      </w:r>
      <w:r>
        <w:fldChar w:fldCharType="separate"/>
      </w:r>
      <w:r>
        <w:rPr>
          <w:color w:val="000000"/>
          <w:sz w:val="22"/>
        </w:rPr>
        <w:t>[1] HumanTrue 官网：Put the Protocol to Work。</w:t>
      </w:r>
      <w:r>
        <w:rPr>
          <w:color w:val="000000"/>
          <w:sz w:val="22"/>
        </w:rPr>
        <w:fldChar w:fldCharType="end"/>
      </w:r>
    </w:p>
    <w:p w14:paraId="48B5CB16">
      <w:pPr>
        <w:spacing w:after="80" w:line="240" w:lineRule="auto"/>
        <w:jc w:val="left"/>
      </w:pPr>
      <w:r>
        <w:fldChar w:fldCharType="begin"/>
      </w:r>
      <w:r>
        <w:instrText xml:space="preserve"> HYPERLINK "https://humantrue.com/quality" \h </w:instrText>
      </w:r>
      <w:r>
        <w:fldChar w:fldCharType="separate"/>
      </w:r>
      <w:r>
        <w:rPr>
          <w:color w:val="000000"/>
          <w:sz w:val="22"/>
        </w:rPr>
        <w:t>[2] HumanTrue Protocol Integrity。</w:t>
      </w:r>
      <w:r>
        <w:rPr>
          <w:color w:val="000000"/>
          <w:sz w:val="22"/>
        </w:rPr>
        <w:fldChar w:fldCharType="end"/>
      </w:r>
    </w:p>
    <w:p w14:paraId="013CED27">
      <w:pPr>
        <w:spacing w:after="80" w:line="240" w:lineRule="auto"/>
        <w:jc w:val="left"/>
      </w:pPr>
      <w:r>
        <w:fldChar w:fldCharType="begin"/>
      </w:r>
      <w:r>
        <w:instrText xml:space="preserve"> HYPERLINK "https://humantrue.com/platform" \h </w:instrText>
      </w:r>
      <w:r>
        <w:fldChar w:fldCharType="separate"/>
      </w:r>
      <w:r>
        <w:rPr>
          <w:color w:val="000000"/>
          <w:sz w:val="22"/>
        </w:rPr>
        <w:t>[3] HumanTrue Platform &amp; Security。</w:t>
      </w:r>
      <w:r>
        <w:rPr>
          <w:color w:val="000000"/>
          <w:sz w:val="22"/>
        </w:rPr>
        <w:fldChar w:fldCharType="end"/>
      </w:r>
    </w:p>
    <w:p w14:paraId="1962A2B3">
      <w:pPr>
        <w:spacing w:after="80" w:line="240" w:lineRule="auto"/>
        <w:jc w:val="left"/>
      </w:pPr>
      <w:r>
        <w:fldChar w:fldCharType="begin"/>
      </w:r>
      <w:r>
        <w:instrText xml:space="preserve"> HYPERLINK "https://www.cori-clinical.com/" \h </w:instrText>
      </w:r>
      <w:r>
        <w:fldChar w:fldCharType="separate"/>
      </w:r>
      <w:r>
        <w:rPr>
          <w:color w:val="000000"/>
          <w:sz w:val="22"/>
        </w:rPr>
        <w:t>[4] Cori Clinical 官网。</w:t>
      </w:r>
      <w:r>
        <w:rPr>
          <w:color w:val="000000"/>
          <w:sz w:val="22"/>
        </w:rPr>
        <w:fldChar w:fldCharType="end"/>
      </w:r>
    </w:p>
    <w:p w14:paraId="780862F9">
      <w:pPr>
        <w:spacing w:after="80" w:line="240" w:lineRule="auto"/>
        <w:jc w:val="left"/>
      </w:pPr>
      <w:r>
        <w:fldChar w:fldCharType="begin"/>
      </w:r>
      <w:r>
        <w:instrText xml:space="preserve"> HYPERLINK "https://www.cori-clinical.com/assist" \h </w:instrText>
      </w:r>
      <w:r>
        <w:fldChar w:fldCharType="separate"/>
      </w:r>
      <w:r>
        <w:rPr>
          <w:color w:val="000000"/>
          <w:sz w:val="22"/>
        </w:rPr>
        <w:t>[5] Cori Clinical ASSIST。</w:t>
      </w:r>
      <w:r>
        <w:rPr>
          <w:color w:val="000000"/>
          <w:sz w:val="22"/>
        </w:rPr>
        <w:fldChar w:fldCharType="end"/>
      </w:r>
    </w:p>
    <w:p w14:paraId="74C9EDC4">
      <w:pPr>
        <w:spacing w:after="80" w:line="240" w:lineRule="auto"/>
        <w:jc w:val="left"/>
      </w:pPr>
      <w:r>
        <w:fldChar w:fldCharType="begin"/>
      </w:r>
      <w:r>
        <w:instrText xml:space="preserve"> HYPERLINK "https://clinials.com/about-us" \h </w:instrText>
      </w:r>
      <w:r>
        <w:fldChar w:fldCharType="separate"/>
      </w:r>
      <w:r>
        <w:rPr>
          <w:color w:val="000000"/>
          <w:sz w:val="22"/>
        </w:rPr>
        <w:t>[6] Clinials About。</w:t>
      </w:r>
      <w:r>
        <w:rPr>
          <w:color w:val="000000"/>
          <w:sz w:val="22"/>
        </w:rPr>
        <w:fldChar w:fldCharType="end"/>
      </w:r>
    </w:p>
    <w:p w14:paraId="01B371AB">
      <w:pPr>
        <w:spacing w:after="80" w:line="240" w:lineRule="auto"/>
        <w:jc w:val="left"/>
      </w:pPr>
      <w:r>
        <w:fldChar w:fldCharType="begin"/>
      </w:r>
      <w:r>
        <w:instrText xml:space="preserve"> HYPERLINK "https://www.iqvia.com/solutions/research-and-development/consulting/protocol-design-optimization" \h </w:instrText>
      </w:r>
      <w:r>
        <w:fldChar w:fldCharType="separate"/>
      </w:r>
      <w:r>
        <w:rPr>
          <w:color w:val="000000"/>
          <w:sz w:val="22"/>
        </w:rPr>
        <w:t>[7] IQVIA Protocol Design Optimization。</w:t>
      </w:r>
      <w:r>
        <w:rPr>
          <w:color w:val="000000"/>
          <w:sz w:val="22"/>
        </w:rPr>
        <w:fldChar w:fldCharType="end"/>
      </w:r>
    </w:p>
    <w:p w14:paraId="5C1C4B2A">
      <w:pPr>
        <w:spacing w:after="80" w:line="240" w:lineRule="auto"/>
        <w:jc w:val="left"/>
      </w:pPr>
      <w:r>
        <w:fldChar w:fldCharType="begin"/>
      </w:r>
      <w:r>
        <w:instrText xml:space="preserve"> HYPERLINK "https://www.medidata.com/en/study-experience/protocol-optimization/" \h </w:instrText>
      </w:r>
      <w:r>
        <w:fldChar w:fldCharType="separate"/>
      </w:r>
      <w:r>
        <w:rPr>
          <w:color w:val="000000"/>
          <w:sz w:val="22"/>
        </w:rPr>
        <w:t>[8] Medidata Protocol Optimization。</w:t>
      </w:r>
      <w:r>
        <w:rPr>
          <w:color w:val="000000"/>
          <w:sz w:val="22"/>
        </w:rPr>
        <w:fldChar w:fldCharType="end"/>
      </w:r>
    </w:p>
    <w:p w14:paraId="447C843E">
      <w:pPr>
        <w:spacing w:after="80" w:line="240" w:lineRule="auto"/>
        <w:jc w:val="left"/>
      </w:pPr>
      <w:r>
        <w:fldChar w:fldCharType="begin"/>
      </w:r>
      <w:r>
        <w:instrText xml:space="preserve"> HYPERLINK "https://www.veeva.com/cn/product/vault-etmf/" \h </w:instrText>
      </w:r>
      <w:r>
        <w:fldChar w:fldCharType="separate"/>
      </w:r>
      <w:r>
        <w:rPr>
          <w:color w:val="000000"/>
          <w:sz w:val="22"/>
        </w:rPr>
        <w:t>[9] Veeva Vault eTMF。</w:t>
      </w:r>
      <w:r>
        <w:rPr>
          <w:color w:val="000000"/>
          <w:sz w:val="22"/>
        </w:rPr>
        <w:fldChar w:fldCharType="end"/>
      </w:r>
    </w:p>
    <w:p w14:paraId="77EA2446">
      <w:pPr>
        <w:spacing w:after="80" w:line="240" w:lineRule="auto"/>
        <w:jc w:val="left"/>
      </w:pPr>
      <w:r>
        <w:fldChar w:fldCharType="begin"/>
      </w:r>
      <w:r>
        <w:instrText xml:space="preserve"> HYPERLINK "https://cn.taimei.com/index/product/id/41" \h </w:instrText>
      </w:r>
      <w:r>
        <w:fldChar w:fldCharType="separate"/>
      </w:r>
      <w:r>
        <w:rPr>
          <w:color w:val="000000"/>
          <w:sz w:val="22"/>
        </w:rPr>
        <w:t>[10] 太美医疗 Wiz-iCTA。</w:t>
      </w:r>
      <w:r>
        <w:rPr>
          <w:color w:val="000000"/>
          <w:sz w:val="22"/>
        </w:rPr>
        <w:fldChar w:fldCharType="end"/>
      </w:r>
    </w:p>
    <w:p w14:paraId="6C7E84E4">
      <w:pPr>
        <w:spacing w:after="80" w:line="240" w:lineRule="auto"/>
        <w:jc w:val="left"/>
      </w:pPr>
      <w:r>
        <w:fldChar w:fldCharType="begin"/>
      </w:r>
      <w:r>
        <w:instrText xml:space="preserve"> HYPERLINK "https://www.cdisc.org/zh-hans/node/8100" \h </w:instrText>
      </w:r>
      <w:r>
        <w:fldChar w:fldCharType="separate"/>
      </w:r>
      <w:r>
        <w:rPr>
          <w:color w:val="000000"/>
          <w:sz w:val="22"/>
        </w:rPr>
        <w:t>[11] CDISC Digital Data Flow / USDM。</w:t>
      </w:r>
      <w:r>
        <w:rPr>
          <w:color w:val="000000"/>
          <w:sz w:val="22"/>
        </w:rPr>
        <w:fldChar w:fldCharType="end"/>
      </w:r>
    </w:p>
    <w:p w14:paraId="4CBD1B95">
      <w:pPr>
        <w:spacing w:after="80" w:line="240" w:lineRule="auto"/>
        <w:jc w:val="left"/>
      </w:pPr>
      <w:r>
        <w:fldChar w:fldCharType="begin"/>
      </w:r>
      <w:r>
        <w:instrText xml:space="preserve"> HYPERLINK "https://www.fda.gov/regulatory-information/search-fda-guidance-documents/m11-clinical-electronic-structured-harmonised-protocol" \h </w:instrText>
      </w:r>
      <w:r>
        <w:fldChar w:fldCharType="separate"/>
      </w:r>
      <w:r>
        <w:rPr>
          <w:color w:val="000000"/>
          <w:sz w:val="22"/>
        </w:rPr>
        <w:t>[12] FDA：ICH M11 Clinical Electronic Structured Harmonised Protocol。</w:t>
      </w:r>
      <w:r>
        <w:rPr>
          <w:color w:val="000000"/>
          <w:sz w:val="22"/>
        </w:rPr>
        <w:fldChar w:fldCharType="end"/>
      </w:r>
    </w:p>
    <w:sectPr>
      <w:footerReference r:id="rId5" w:type="default"/>
      <w:pgSz w:w="11906" w:h="16838"/>
      <w:pgMar w:top="1962" w:right="1474" w:bottom="1701" w:left="1701" w:header="851" w:footer="992" w:gutter="0"/>
      <w:pgNumType w:start="1"/>
      <w:cols w:space="425" w:num="1"/>
      <w:docGrid w:type="linesAndChars" w:linePitch="592" w:charSpace="161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9021601-76E3-431D-8C7D-5E2CF2E4D4E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00"/>
    <w:family w:val="auto"/>
    <w:pitch w:val="default"/>
    <w:sig w:usb0="00000000" w:usb1="00000000" w:usb2="00000000" w:usb3="00000000" w:csb0="00000000" w:csb1="00000000"/>
    <w:embedRegular r:id="rId2" w:fontKey="{E6370191-884B-440D-AA6B-86F2354BFE7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erif CJK SC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  <w:embedRegular r:id="rId3" w:fontKey="{ACFE7FF6-D942-4EA3-8FF4-833188E29431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820CE">
    <w:pPr>
      <w:jc w:val="center"/>
    </w:pPr>
    <w:r>
      <w:rPr>
        <w:sz w:val="24"/>
      </w:rPr>
      <w:t xml:space="preserve">— 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02439"/>
    <w:multiLevelType w:val="multilevel"/>
    <w:tmpl w:val="20702439"/>
    <w:lvl w:ilvl="0" w:tentative="0">
      <w:start w:val="1"/>
      <w:numFmt w:val="decimal"/>
      <w:pStyle w:val="49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TrueTypeFonts/>
  <w:saveSubset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616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8A2"/>
    <w:rsid w:val="0000401B"/>
    <w:rsid w:val="00005F78"/>
    <w:rsid w:val="000135A4"/>
    <w:rsid w:val="00014FBA"/>
    <w:rsid w:val="00030B22"/>
    <w:rsid w:val="000310AA"/>
    <w:rsid w:val="000476BD"/>
    <w:rsid w:val="0005441A"/>
    <w:rsid w:val="00057321"/>
    <w:rsid w:val="00057EFE"/>
    <w:rsid w:val="00075CC8"/>
    <w:rsid w:val="000A6878"/>
    <w:rsid w:val="000C17F5"/>
    <w:rsid w:val="000C491B"/>
    <w:rsid w:val="000D47CC"/>
    <w:rsid w:val="000F7B67"/>
    <w:rsid w:val="00101BB2"/>
    <w:rsid w:val="00113D9B"/>
    <w:rsid w:val="001178FE"/>
    <w:rsid w:val="00120862"/>
    <w:rsid w:val="0013524F"/>
    <w:rsid w:val="00141073"/>
    <w:rsid w:val="00141D1C"/>
    <w:rsid w:val="00145CEE"/>
    <w:rsid w:val="00156D7E"/>
    <w:rsid w:val="001616D8"/>
    <w:rsid w:val="001618E8"/>
    <w:rsid w:val="0016789D"/>
    <w:rsid w:val="00171543"/>
    <w:rsid w:val="0017572B"/>
    <w:rsid w:val="001814B6"/>
    <w:rsid w:val="00187213"/>
    <w:rsid w:val="001920D1"/>
    <w:rsid w:val="0019323E"/>
    <w:rsid w:val="00195E1B"/>
    <w:rsid w:val="001A055A"/>
    <w:rsid w:val="001A4566"/>
    <w:rsid w:val="001B23AF"/>
    <w:rsid w:val="001C0931"/>
    <w:rsid w:val="001C5127"/>
    <w:rsid w:val="001C57B2"/>
    <w:rsid w:val="001D2558"/>
    <w:rsid w:val="001E421F"/>
    <w:rsid w:val="001E5EFB"/>
    <w:rsid w:val="001F4CA2"/>
    <w:rsid w:val="001F53B9"/>
    <w:rsid w:val="00201F7A"/>
    <w:rsid w:val="00207680"/>
    <w:rsid w:val="00217AB4"/>
    <w:rsid w:val="0023023E"/>
    <w:rsid w:val="0023545D"/>
    <w:rsid w:val="002449C1"/>
    <w:rsid w:val="00253C8F"/>
    <w:rsid w:val="0025777D"/>
    <w:rsid w:val="00277DB9"/>
    <w:rsid w:val="00280611"/>
    <w:rsid w:val="0029336B"/>
    <w:rsid w:val="002973A9"/>
    <w:rsid w:val="002A0EBE"/>
    <w:rsid w:val="002A1CEA"/>
    <w:rsid w:val="002B2247"/>
    <w:rsid w:val="002B3DF0"/>
    <w:rsid w:val="002B7998"/>
    <w:rsid w:val="002C065B"/>
    <w:rsid w:val="002D6BC7"/>
    <w:rsid w:val="002E176C"/>
    <w:rsid w:val="002F524E"/>
    <w:rsid w:val="00300871"/>
    <w:rsid w:val="00320E85"/>
    <w:rsid w:val="00330A4E"/>
    <w:rsid w:val="003477CF"/>
    <w:rsid w:val="003520B5"/>
    <w:rsid w:val="0035290F"/>
    <w:rsid w:val="003543DA"/>
    <w:rsid w:val="003612F2"/>
    <w:rsid w:val="00365ABA"/>
    <w:rsid w:val="00367531"/>
    <w:rsid w:val="0037231F"/>
    <w:rsid w:val="00372FCB"/>
    <w:rsid w:val="00382F3B"/>
    <w:rsid w:val="003944E2"/>
    <w:rsid w:val="003A73ED"/>
    <w:rsid w:val="003B18C4"/>
    <w:rsid w:val="003B6E5D"/>
    <w:rsid w:val="003C6249"/>
    <w:rsid w:val="003D2CEC"/>
    <w:rsid w:val="003F035D"/>
    <w:rsid w:val="003F2141"/>
    <w:rsid w:val="00422407"/>
    <w:rsid w:val="004261F5"/>
    <w:rsid w:val="00426262"/>
    <w:rsid w:val="004508C1"/>
    <w:rsid w:val="00452CE0"/>
    <w:rsid w:val="004679A3"/>
    <w:rsid w:val="00487D0C"/>
    <w:rsid w:val="004A4E07"/>
    <w:rsid w:val="004C1975"/>
    <w:rsid w:val="004C7930"/>
    <w:rsid w:val="004D36B1"/>
    <w:rsid w:val="004D594C"/>
    <w:rsid w:val="004E10D2"/>
    <w:rsid w:val="004E2480"/>
    <w:rsid w:val="004E43A8"/>
    <w:rsid w:val="004E76B1"/>
    <w:rsid w:val="004F7597"/>
    <w:rsid w:val="00510D04"/>
    <w:rsid w:val="00511329"/>
    <w:rsid w:val="00512E0F"/>
    <w:rsid w:val="00516447"/>
    <w:rsid w:val="00522BF6"/>
    <w:rsid w:val="00531092"/>
    <w:rsid w:val="005333C6"/>
    <w:rsid w:val="00534D16"/>
    <w:rsid w:val="00546DFC"/>
    <w:rsid w:val="00556CC7"/>
    <w:rsid w:val="00561B42"/>
    <w:rsid w:val="00563A39"/>
    <w:rsid w:val="00564DC7"/>
    <w:rsid w:val="00565558"/>
    <w:rsid w:val="0056767A"/>
    <w:rsid w:val="00581CF4"/>
    <w:rsid w:val="005946E2"/>
    <w:rsid w:val="00594D16"/>
    <w:rsid w:val="005A76FB"/>
    <w:rsid w:val="005B198A"/>
    <w:rsid w:val="005B32C8"/>
    <w:rsid w:val="005B53CF"/>
    <w:rsid w:val="005B6655"/>
    <w:rsid w:val="005B79A7"/>
    <w:rsid w:val="005B79C4"/>
    <w:rsid w:val="005B7B74"/>
    <w:rsid w:val="005E4548"/>
    <w:rsid w:val="005F1AA3"/>
    <w:rsid w:val="005F4CD5"/>
    <w:rsid w:val="00612766"/>
    <w:rsid w:val="00620AFA"/>
    <w:rsid w:val="0062234F"/>
    <w:rsid w:val="00623063"/>
    <w:rsid w:val="00623D84"/>
    <w:rsid w:val="00625EB1"/>
    <w:rsid w:val="0063044B"/>
    <w:rsid w:val="00643706"/>
    <w:rsid w:val="00647056"/>
    <w:rsid w:val="0065770B"/>
    <w:rsid w:val="00663894"/>
    <w:rsid w:val="00673E71"/>
    <w:rsid w:val="006830B4"/>
    <w:rsid w:val="006A11DF"/>
    <w:rsid w:val="006C6E73"/>
    <w:rsid w:val="006E0F2A"/>
    <w:rsid w:val="006E41F1"/>
    <w:rsid w:val="006E7A81"/>
    <w:rsid w:val="006F15E3"/>
    <w:rsid w:val="006F7C11"/>
    <w:rsid w:val="0070124A"/>
    <w:rsid w:val="007068A2"/>
    <w:rsid w:val="00710269"/>
    <w:rsid w:val="007247C3"/>
    <w:rsid w:val="0073412C"/>
    <w:rsid w:val="0073650D"/>
    <w:rsid w:val="0074070A"/>
    <w:rsid w:val="00756093"/>
    <w:rsid w:val="007604F5"/>
    <w:rsid w:val="00764944"/>
    <w:rsid w:val="00766AD3"/>
    <w:rsid w:val="00783A5D"/>
    <w:rsid w:val="00786564"/>
    <w:rsid w:val="00792427"/>
    <w:rsid w:val="007A2D9B"/>
    <w:rsid w:val="007C0049"/>
    <w:rsid w:val="007D10E6"/>
    <w:rsid w:val="007D4A95"/>
    <w:rsid w:val="007D7C61"/>
    <w:rsid w:val="007F2074"/>
    <w:rsid w:val="007F4B87"/>
    <w:rsid w:val="007F75B1"/>
    <w:rsid w:val="00806EF4"/>
    <w:rsid w:val="00811A81"/>
    <w:rsid w:val="00826732"/>
    <w:rsid w:val="00832266"/>
    <w:rsid w:val="0083592D"/>
    <w:rsid w:val="0084079B"/>
    <w:rsid w:val="008550D8"/>
    <w:rsid w:val="00855DCF"/>
    <w:rsid w:val="00856104"/>
    <w:rsid w:val="00862690"/>
    <w:rsid w:val="00865E94"/>
    <w:rsid w:val="0087278E"/>
    <w:rsid w:val="00875894"/>
    <w:rsid w:val="00880DCA"/>
    <w:rsid w:val="00891C3A"/>
    <w:rsid w:val="00895145"/>
    <w:rsid w:val="008A7C36"/>
    <w:rsid w:val="008B2208"/>
    <w:rsid w:val="008C2A08"/>
    <w:rsid w:val="008D052B"/>
    <w:rsid w:val="008D0A67"/>
    <w:rsid w:val="008D2B42"/>
    <w:rsid w:val="008D69AE"/>
    <w:rsid w:val="008F0DA2"/>
    <w:rsid w:val="008F13BB"/>
    <w:rsid w:val="008F5C7E"/>
    <w:rsid w:val="00900F9B"/>
    <w:rsid w:val="00910263"/>
    <w:rsid w:val="0091124B"/>
    <w:rsid w:val="009130F9"/>
    <w:rsid w:val="00930207"/>
    <w:rsid w:val="00930CEC"/>
    <w:rsid w:val="00931D08"/>
    <w:rsid w:val="009429A4"/>
    <w:rsid w:val="00943C57"/>
    <w:rsid w:val="00952EE9"/>
    <w:rsid w:val="00961071"/>
    <w:rsid w:val="00970013"/>
    <w:rsid w:val="0098368F"/>
    <w:rsid w:val="009840BF"/>
    <w:rsid w:val="009A05CB"/>
    <w:rsid w:val="009A444E"/>
    <w:rsid w:val="009C59EF"/>
    <w:rsid w:val="009C5C57"/>
    <w:rsid w:val="009E04A1"/>
    <w:rsid w:val="009E2AF2"/>
    <w:rsid w:val="009E4FA6"/>
    <w:rsid w:val="009F4081"/>
    <w:rsid w:val="00A1210B"/>
    <w:rsid w:val="00A26CD2"/>
    <w:rsid w:val="00A3321C"/>
    <w:rsid w:val="00A33366"/>
    <w:rsid w:val="00A4163A"/>
    <w:rsid w:val="00A52B90"/>
    <w:rsid w:val="00A535F6"/>
    <w:rsid w:val="00A55223"/>
    <w:rsid w:val="00A85E1B"/>
    <w:rsid w:val="00A93A01"/>
    <w:rsid w:val="00AA28DE"/>
    <w:rsid w:val="00AA4B1A"/>
    <w:rsid w:val="00AB17A5"/>
    <w:rsid w:val="00AB19E2"/>
    <w:rsid w:val="00AB4B8D"/>
    <w:rsid w:val="00AB536E"/>
    <w:rsid w:val="00AB74CD"/>
    <w:rsid w:val="00AC261E"/>
    <w:rsid w:val="00AD140F"/>
    <w:rsid w:val="00AD4B03"/>
    <w:rsid w:val="00AE37C5"/>
    <w:rsid w:val="00AE6322"/>
    <w:rsid w:val="00AF0E7B"/>
    <w:rsid w:val="00AF6A5C"/>
    <w:rsid w:val="00B045AF"/>
    <w:rsid w:val="00B124D3"/>
    <w:rsid w:val="00B1577E"/>
    <w:rsid w:val="00B26F50"/>
    <w:rsid w:val="00B301E1"/>
    <w:rsid w:val="00B32129"/>
    <w:rsid w:val="00B4035A"/>
    <w:rsid w:val="00B5095E"/>
    <w:rsid w:val="00B56A07"/>
    <w:rsid w:val="00B61553"/>
    <w:rsid w:val="00B6207B"/>
    <w:rsid w:val="00B70CB2"/>
    <w:rsid w:val="00B72349"/>
    <w:rsid w:val="00B72EF4"/>
    <w:rsid w:val="00B82702"/>
    <w:rsid w:val="00B863A7"/>
    <w:rsid w:val="00B91478"/>
    <w:rsid w:val="00BA6E7A"/>
    <w:rsid w:val="00BA7591"/>
    <w:rsid w:val="00BC4323"/>
    <w:rsid w:val="00BE4090"/>
    <w:rsid w:val="00BE7D28"/>
    <w:rsid w:val="00BF38FC"/>
    <w:rsid w:val="00BF4BE0"/>
    <w:rsid w:val="00BF5039"/>
    <w:rsid w:val="00C034CB"/>
    <w:rsid w:val="00C1222E"/>
    <w:rsid w:val="00C142A2"/>
    <w:rsid w:val="00C24240"/>
    <w:rsid w:val="00C32B0E"/>
    <w:rsid w:val="00C41BD0"/>
    <w:rsid w:val="00C42859"/>
    <w:rsid w:val="00C438A9"/>
    <w:rsid w:val="00C47A96"/>
    <w:rsid w:val="00C61802"/>
    <w:rsid w:val="00C62CF8"/>
    <w:rsid w:val="00C66985"/>
    <w:rsid w:val="00C66F6C"/>
    <w:rsid w:val="00C67BF9"/>
    <w:rsid w:val="00C72FD0"/>
    <w:rsid w:val="00C81C2E"/>
    <w:rsid w:val="00C8762E"/>
    <w:rsid w:val="00CA0513"/>
    <w:rsid w:val="00CA714B"/>
    <w:rsid w:val="00CB553C"/>
    <w:rsid w:val="00CC257D"/>
    <w:rsid w:val="00CC52A7"/>
    <w:rsid w:val="00CE581E"/>
    <w:rsid w:val="00CF1DBB"/>
    <w:rsid w:val="00CF37B2"/>
    <w:rsid w:val="00D13544"/>
    <w:rsid w:val="00D31672"/>
    <w:rsid w:val="00D324F2"/>
    <w:rsid w:val="00D34711"/>
    <w:rsid w:val="00D36523"/>
    <w:rsid w:val="00D37592"/>
    <w:rsid w:val="00D41D34"/>
    <w:rsid w:val="00D53E5F"/>
    <w:rsid w:val="00D61C21"/>
    <w:rsid w:val="00D672E4"/>
    <w:rsid w:val="00D71056"/>
    <w:rsid w:val="00D73651"/>
    <w:rsid w:val="00D77031"/>
    <w:rsid w:val="00D83D77"/>
    <w:rsid w:val="00D972DA"/>
    <w:rsid w:val="00DA2841"/>
    <w:rsid w:val="00DA2F5A"/>
    <w:rsid w:val="00DA34D2"/>
    <w:rsid w:val="00DC0F1F"/>
    <w:rsid w:val="00DD09D5"/>
    <w:rsid w:val="00DD4799"/>
    <w:rsid w:val="00DD49C9"/>
    <w:rsid w:val="00DD62E8"/>
    <w:rsid w:val="00DE5319"/>
    <w:rsid w:val="00DE753E"/>
    <w:rsid w:val="00DF3457"/>
    <w:rsid w:val="00E13AF2"/>
    <w:rsid w:val="00E1710D"/>
    <w:rsid w:val="00E31230"/>
    <w:rsid w:val="00E338A6"/>
    <w:rsid w:val="00E42D4B"/>
    <w:rsid w:val="00E45455"/>
    <w:rsid w:val="00E4645F"/>
    <w:rsid w:val="00E525E2"/>
    <w:rsid w:val="00E537F3"/>
    <w:rsid w:val="00E53C13"/>
    <w:rsid w:val="00E54C55"/>
    <w:rsid w:val="00E63D3C"/>
    <w:rsid w:val="00E80588"/>
    <w:rsid w:val="00E86F83"/>
    <w:rsid w:val="00E95FEF"/>
    <w:rsid w:val="00EA045A"/>
    <w:rsid w:val="00EA2906"/>
    <w:rsid w:val="00EA6004"/>
    <w:rsid w:val="00EB45DF"/>
    <w:rsid w:val="00EB7F7E"/>
    <w:rsid w:val="00EC28A9"/>
    <w:rsid w:val="00EE7EF9"/>
    <w:rsid w:val="00F03214"/>
    <w:rsid w:val="00F03899"/>
    <w:rsid w:val="00F27C98"/>
    <w:rsid w:val="00F309A8"/>
    <w:rsid w:val="00F32316"/>
    <w:rsid w:val="00F330EB"/>
    <w:rsid w:val="00F357CE"/>
    <w:rsid w:val="00F405C0"/>
    <w:rsid w:val="00F45F1B"/>
    <w:rsid w:val="00F51DDC"/>
    <w:rsid w:val="00F60D07"/>
    <w:rsid w:val="00F66C25"/>
    <w:rsid w:val="00F7218B"/>
    <w:rsid w:val="00F82B30"/>
    <w:rsid w:val="00F906E6"/>
    <w:rsid w:val="00F96ECD"/>
    <w:rsid w:val="00F97759"/>
    <w:rsid w:val="00FA4307"/>
    <w:rsid w:val="00FC1EB7"/>
    <w:rsid w:val="00FC7D4C"/>
    <w:rsid w:val="00FD1C56"/>
    <w:rsid w:val="00FD4619"/>
    <w:rsid w:val="01575B6A"/>
    <w:rsid w:val="01BB2FAC"/>
    <w:rsid w:val="043C3BFF"/>
    <w:rsid w:val="04502996"/>
    <w:rsid w:val="04572B96"/>
    <w:rsid w:val="05857C4D"/>
    <w:rsid w:val="06663CA1"/>
    <w:rsid w:val="06A74079"/>
    <w:rsid w:val="07170356"/>
    <w:rsid w:val="07876E2F"/>
    <w:rsid w:val="082A0972"/>
    <w:rsid w:val="08CC4159"/>
    <w:rsid w:val="09233581"/>
    <w:rsid w:val="099B5350"/>
    <w:rsid w:val="0A2F1677"/>
    <w:rsid w:val="0AEC06CF"/>
    <w:rsid w:val="0C38149C"/>
    <w:rsid w:val="0C825B20"/>
    <w:rsid w:val="0FA75C11"/>
    <w:rsid w:val="10F90765"/>
    <w:rsid w:val="13C95DDF"/>
    <w:rsid w:val="14705C24"/>
    <w:rsid w:val="14A105E7"/>
    <w:rsid w:val="14FA373A"/>
    <w:rsid w:val="153A74E0"/>
    <w:rsid w:val="15B7232D"/>
    <w:rsid w:val="160F6E35"/>
    <w:rsid w:val="175E71E6"/>
    <w:rsid w:val="1761016A"/>
    <w:rsid w:val="18861A9D"/>
    <w:rsid w:val="190061A7"/>
    <w:rsid w:val="1A1254D5"/>
    <w:rsid w:val="1A8C7B66"/>
    <w:rsid w:val="1C321E98"/>
    <w:rsid w:val="1D470F8D"/>
    <w:rsid w:val="1E9858BE"/>
    <w:rsid w:val="1E9B43BE"/>
    <w:rsid w:val="1EF9792C"/>
    <w:rsid w:val="20B75784"/>
    <w:rsid w:val="21294361"/>
    <w:rsid w:val="213830CA"/>
    <w:rsid w:val="214E7FEB"/>
    <w:rsid w:val="223E3E3C"/>
    <w:rsid w:val="227C4964"/>
    <w:rsid w:val="23B95E70"/>
    <w:rsid w:val="24745286"/>
    <w:rsid w:val="24836BF3"/>
    <w:rsid w:val="25225E03"/>
    <w:rsid w:val="252C0A49"/>
    <w:rsid w:val="25493139"/>
    <w:rsid w:val="25684CF0"/>
    <w:rsid w:val="269E759F"/>
    <w:rsid w:val="26E179D7"/>
    <w:rsid w:val="270218DC"/>
    <w:rsid w:val="271A0E36"/>
    <w:rsid w:val="285A74F6"/>
    <w:rsid w:val="289171D0"/>
    <w:rsid w:val="28971627"/>
    <w:rsid w:val="29084FAE"/>
    <w:rsid w:val="2AAE6622"/>
    <w:rsid w:val="2AB3562B"/>
    <w:rsid w:val="2B5570D5"/>
    <w:rsid w:val="2C3A67C6"/>
    <w:rsid w:val="2C8B41B2"/>
    <w:rsid w:val="2CE10CB2"/>
    <w:rsid w:val="2D92345A"/>
    <w:rsid w:val="30087270"/>
    <w:rsid w:val="312A5FA5"/>
    <w:rsid w:val="312D5DBE"/>
    <w:rsid w:val="327D62BB"/>
    <w:rsid w:val="3346113C"/>
    <w:rsid w:val="335C05C6"/>
    <w:rsid w:val="34B01B96"/>
    <w:rsid w:val="34FA3BF3"/>
    <w:rsid w:val="35F85C92"/>
    <w:rsid w:val="367E17C3"/>
    <w:rsid w:val="379E73FF"/>
    <w:rsid w:val="37A23E2F"/>
    <w:rsid w:val="38050351"/>
    <w:rsid w:val="396C3D44"/>
    <w:rsid w:val="39B37677"/>
    <w:rsid w:val="3A4B5D9F"/>
    <w:rsid w:val="3B5D44F4"/>
    <w:rsid w:val="3B91348A"/>
    <w:rsid w:val="3BD50D31"/>
    <w:rsid w:val="3C4C77B9"/>
    <w:rsid w:val="3CFE09E5"/>
    <w:rsid w:val="3D520088"/>
    <w:rsid w:val="3DD533B3"/>
    <w:rsid w:val="3E6812C5"/>
    <w:rsid w:val="3F304187"/>
    <w:rsid w:val="3F9C73DD"/>
    <w:rsid w:val="3FF43934"/>
    <w:rsid w:val="4078152A"/>
    <w:rsid w:val="40D2254D"/>
    <w:rsid w:val="42790B68"/>
    <w:rsid w:val="42F132D0"/>
    <w:rsid w:val="431467C7"/>
    <w:rsid w:val="432526AC"/>
    <w:rsid w:val="439717CE"/>
    <w:rsid w:val="44E1728E"/>
    <w:rsid w:val="44EB600B"/>
    <w:rsid w:val="44FC6357"/>
    <w:rsid w:val="458608E1"/>
    <w:rsid w:val="46747AF7"/>
    <w:rsid w:val="46CF3909"/>
    <w:rsid w:val="47293CD0"/>
    <w:rsid w:val="4782258D"/>
    <w:rsid w:val="47D757FB"/>
    <w:rsid w:val="47EC7D9D"/>
    <w:rsid w:val="48DD0D98"/>
    <w:rsid w:val="49964A2B"/>
    <w:rsid w:val="4A1E1CDA"/>
    <w:rsid w:val="4B146112"/>
    <w:rsid w:val="4EB27ACB"/>
    <w:rsid w:val="4EB7039E"/>
    <w:rsid w:val="4EC77ECE"/>
    <w:rsid w:val="4FC000E6"/>
    <w:rsid w:val="50A07754"/>
    <w:rsid w:val="52245352"/>
    <w:rsid w:val="54545ACC"/>
    <w:rsid w:val="558603BE"/>
    <w:rsid w:val="558808F4"/>
    <w:rsid w:val="562148DD"/>
    <w:rsid w:val="57214480"/>
    <w:rsid w:val="59A30C9C"/>
    <w:rsid w:val="5A635857"/>
    <w:rsid w:val="5AC5432B"/>
    <w:rsid w:val="5AD20785"/>
    <w:rsid w:val="5AD26C54"/>
    <w:rsid w:val="5C0D1BAE"/>
    <w:rsid w:val="5CDF79EE"/>
    <w:rsid w:val="5D1B7FCE"/>
    <w:rsid w:val="5F1E0371"/>
    <w:rsid w:val="604B6F0C"/>
    <w:rsid w:val="60B83D2E"/>
    <w:rsid w:val="61402C9C"/>
    <w:rsid w:val="6143039D"/>
    <w:rsid w:val="61BC20AC"/>
    <w:rsid w:val="62670500"/>
    <w:rsid w:val="62751A14"/>
    <w:rsid w:val="63022AD9"/>
    <w:rsid w:val="63C4349A"/>
    <w:rsid w:val="641F55CF"/>
    <w:rsid w:val="652E7161"/>
    <w:rsid w:val="66D37D3F"/>
    <w:rsid w:val="676550B0"/>
    <w:rsid w:val="67D85766"/>
    <w:rsid w:val="68130B4F"/>
    <w:rsid w:val="68382394"/>
    <w:rsid w:val="68485D6D"/>
    <w:rsid w:val="686410E2"/>
    <w:rsid w:val="69940630"/>
    <w:rsid w:val="69A1416D"/>
    <w:rsid w:val="69A26B47"/>
    <w:rsid w:val="6A2B4273"/>
    <w:rsid w:val="6A410BA0"/>
    <w:rsid w:val="6A4B15F0"/>
    <w:rsid w:val="6B0A61AB"/>
    <w:rsid w:val="6BD11B7B"/>
    <w:rsid w:val="6BFD579B"/>
    <w:rsid w:val="6C432263"/>
    <w:rsid w:val="6C7034F3"/>
    <w:rsid w:val="6D0241A3"/>
    <w:rsid w:val="6D832679"/>
    <w:rsid w:val="6E423939"/>
    <w:rsid w:val="6EB97BB5"/>
    <w:rsid w:val="6F404D6A"/>
    <w:rsid w:val="70115CB9"/>
    <w:rsid w:val="707149AA"/>
    <w:rsid w:val="708C3591"/>
    <w:rsid w:val="72FA21B3"/>
    <w:rsid w:val="737A2701"/>
    <w:rsid w:val="73925BAA"/>
    <w:rsid w:val="741152AF"/>
    <w:rsid w:val="74BB4445"/>
    <w:rsid w:val="74F26A6B"/>
    <w:rsid w:val="75F45E61"/>
    <w:rsid w:val="7667123C"/>
    <w:rsid w:val="770420D4"/>
    <w:rsid w:val="77B1071B"/>
    <w:rsid w:val="783842C9"/>
    <w:rsid w:val="7A1467CB"/>
    <w:rsid w:val="7A2660F9"/>
    <w:rsid w:val="7AE372DB"/>
    <w:rsid w:val="7B116B6D"/>
    <w:rsid w:val="7BEA0863"/>
    <w:rsid w:val="7DC82F39"/>
    <w:rsid w:val="7FB2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0" w:semiHidden="0" w:name="heading 6"/>
    <w:lsdException w:qFormat="1" w:uiPriority="9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_GB2312" w:cs="Times New Roman"/>
      <w:spacing w:val="-6"/>
      <w:kern w:val="2"/>
      <w:sz w:val="28"/>
      <w:szCs w:val="3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0"/>
    <w:pPr>
      <w:keepNext/>
      <w:keepLines/>
      <w:pageBreakBefore/>
      <w:spacing w:before="296" w:beforeLines="50" w:after="177" w:afterLines="30"/>
      <w:jc w:val="left"/>
      <w:outlineLvl w:val="0"/>
    </w:pPr>
    <w:rPr>
      <w:rFonts w:cs="Arial"/>
      <w:b/>
      <w:bCs/>
      <w:color w:val="1A1C1E"/>
      <w:kern w:val="44"/>
      <w:sz w:val="36"/>
      <w:lang w:eastAsia="zh-CN"/>
    </w:rPr>
  </w:style>
  <w:style w:type="paragraph" w:styleId="3">
    <w:name w:val="heading 2"/>
    <w:basedOn w:val="1"/>
    <w:next w:val="1"/>
    <w:link w:val="5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</w:rPr>
  </w:style>
  <w:style w:type="paragraph" w:styleId="5">
    <w:name w:val="heading 4"/>
    <w:basedOn w:val="1"/>
    <w:next w:val="1"/>
    <w:link w:val="43"/>
    <w:autoRedefine/>
    <w:unhideWhenUsed/>
    <w:qFormat/>
    <w:uiPriority w:val="0"/>
    <w:pPr>
      <w:keepNext/>
      <w:keepLines/>
      <w:spacing w:before="60" w:after="60"/>
      <w:jc w:val="left"/>
      <w:outlineLvl w:val="3"/>
    </w:pPr>
    <w:rPr>
      <w:b/>
      <w:color w:val="000000"/>
      <w:szCs w:val="36"/>
      <w:lang w:eastAsia="zh-CN"/>
    </w:rPr>
  </w:style>
  <w:style w:type="paragraph" w:styleId="6">
    <w:name w:val="heading 5"/>
    <w:basedOn w:val="1"/>
    <w:next w:val="1"/>
    <w:link w:val="4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44"/>
    <w:autoRedefine/>
    <w:unhideWhenUsed/>
    <w:qFormat/>
    <w:uiPriority w:val="0"/>
    <w:pPr>
      <w:keepNext/>
      <w:keepLines/>
      <w:spacing w:before="240" w:after="64" w:line="317" w:lineRule="auto"/>
      <w:ind w:left="210" w:leftChars="100" w:right="100" w:rightChars="100"/>
      <w:outlineLvl w:val="5"/>
    </w:pPr>
    <w:rPr>
      <w:rFonts w:ascii="Arial" w:hAnsi="Arial" w:eastAsia="宋体"/>
      <w:b/>
      <w:color w:val="000000"/>
      <w:sz w:val="24"/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9"/>
    <w:autoRedefine/>
    <w:unhideWhenUsed/>
    <w:qFormat/>
    <w:uiPriority w:val="0"/>
    <w:pPr>
      <w:keepNext/>
      <w:keepLines/>
      <w:spacing w:before="240" w:after="64" w:line="317" w:lineRule="auto"/>
      <w:ind w:left="210" w:leftChars="100" w:right="210" w:rightChars="100" w:firstLine="245" w:firstLineChars="100"/>
      <w:outlineLvl w:val="7"/>
    </w:pPr>
    <w:rPr>
      <w:rFonts w:eastAsia="宋体"/>
      <w:b/>
      <w:color w:val="000000"/>
      <w:sz w:val="24"/>
    </w:rPr>
  </w:style>
  <w:style w:type="paragraph" w:styleId="10">
    <w:name w:val="heading 9"/>
    <w:basedOn w:val="1"/>
    <w:next w:val="1"/>
    <w:link w:val="5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rFonts w:asciiTheme="minorHAnsi" w:hAnsiTheme="minorHAnsi" w:eastAsiaTheme="minorEastAsia" w:cstheme="minorBidi"/>
      <w:spacing w:val="0"/>
      <w:sz w:val="22"/>
      <w:szCs w:val="24"/>
      <w:lang w:eastAsia="zh-CN"/>
      <w14:ligatures w14:val="standardContextual"/>
    </w:r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rFonts w:asciiTheme="minorHAnsi" w:hAnsiTheme="minorHAnsi" w:eastAsiaTheme="minorEastAsia" w:cstheme="minorBidi"/>
      <w:spacing w:val="0"/>
      <w:sz w:val="22"/>
      <w:szCs w:val="24"/>
      <w:lang w:eastAsia="zh-CN"/>
      <w14:ligatures w14:val="standardContextual"/>
    </w:rPr>
  </w:style>
  <w:style w:type="paragraph" w:styleId="14">
    <w:name w:val="toc 3"/>
    <w:basedOn w:val="1"/>
    <w:next w:val="1"/>
    <w:autoRedefine/>
    <w:qFormat/>
    <w:uiPriority w:val="39"/>
    <w:pPr>
      <w:widowControl/>
      <w:kinsoku w:val="0"/>
      <w:autoSpaceDE w:val="0"/>
      <w:autoSpaceDN w:val="0"/>
      <w:adjustRightInd w:val="0"/>
      <w:snapToGrid w:val="0"/>
      <w:ind w:left="100" w:leftChars="100" w:right="100" w:rightChars="100"/>
      <w:textAlignment w:val="baseline"/>
    </w:pPr>
    <w:rPr>
      <w:rFonts w:eastAsia="宋体" w:cstheme="minorHAnsi"/>
      <w:iCs/>
      <w:snapToGrid w:val="0"/>
      <w:color w:val="000000"/>
      <w:kern w:val="0"/>
      <w:sz w:val="24"/>
      <w:szCs w:val="20"/>
    </w:rPr>
  </w:style>
  <w:style w:type="paragraph" w:styleId="15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rFonts w:asciiTheme="minorHAnsi" w:hAnsiTheme="minorHAnsi" w:eastAsiaTheme="minorEastAsia" w:cstheme="minorBidi"/>
      <w:spacing w:val="0"/>
      <w:sz w:val="22"/>
      <w:szCs w:val="24"/>
      <w:lang w:eastAsia="zh-CN"/>
      <w14:ligatures w14:val="standardContextual"/>
    </w:rPr>
  </w:style>
  <w:style w:type="paragraph" w:styleId="16">
    <w:name w:val="footer"/>
    <w:basedOn w:val="1"/>
    <w:link w:val="4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link w:val="5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  <w:pPr>
      <w:widowControl/>
      <w:tabs>
        <w:tab w:val="right" w:leader="dot" w:pos="8721"/>
      </w:tabs>
      <w:kinsoku w:val="0"/>
      <w:autoSpaceDE w:val="0"/>
      <w:autoSpaceDN w:val="0"/>
      <w:adjustRightInd w:val="0"/>
      <w:snapToGrid w:val="0"/>
      <w:spacing w:before="120" w:after="120"/>
      <w:jc w:val="center"/>
      <w:textAlignment w:val="baseline"/>
    </w:pPr>
    <w:rPr>
      <w:rFonts w:eastAsia="宋体" w:cstheme="minorHAnsi"/>
      <w:b/>
      <w:bCs/>
      <w:caps/>
      <w:snapToGrid w:val="0"/>
      <w:color w:val="000000"/>
      <w:kern w:val="0"/>
      <w:sz w:val="24"/>
      <w:szCs w:val="20"/>
    </w:rPr>
  </w:style>
  <w:style w:type="paragraph" w:styleId="19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rFonts w:asciiTheme="minorHAnsi" w:hAnsiTheme="minorHAnsi" w:eastAsiaTheme="minorEastAsia" w:cstheme="minorBidi"/>
      <w:spacing w:val="0"/>
      <w:sz w:val="22"/>
      <w:szCs w:val="24"/>
      <w:lang w:eastAsia="zh-CN"/>
      <w14:ligatures w14:val="standardContextual"/>
    </w:rPr>
  </w:style>
  <w:style w:type="paragraph" w:styleId="20">
    <w:name w:val="Subtitle"/>
    <w:basedOn w:val="1"/>
    <w:next w:val="1"/>
    <w:link w:val="5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rFonts w:asciiTheme="minorHAnsi" w:hAnsiTheme="minorHAnsi" w:eastAsiaTheme="minorEastAsia" w:cstheme="minorBidi"/>
      <w:spacing w:val="0"/>
      <w:sz w:val="22"/>
      <w:szCs w:val="24"/>
      <w:lang w:eastAsia="zh-CN"/>
      <w14:ligatures w14:val="standardContextual"/>
    </w:rPr>
  </w:style>
  <w:style w:type="paragraph" w:styleId="22">
    <w:name w:val="toc 2"/>
    <w:basedOn w:val="1"/>
    <w:next w:val="1"/>
    <w:autoRedefine/>
    <w:qFormat/>
    <w:uiPriority w:val="39"/>
    <w:pPr>
      <w:widowControl/>
      <w:kinsoku w:val="0"/>
      <w:autoSpaceDE w:val="0"/>
      <w:autoSpaceDN w:val="0"/>
      <w:adjustRightInd w:val="0"/>
      <w:snapToGrid w:val="0"/>
      <w:ind w:left="210"/>
      <w:textAlignment w:val="baseline"/>
    </w:pPr>
    <w:rPr>
      <w:rFonts w:eastAsia="宋体" w:cstheme="minorHAnsi"/>
      <w:smallCaps/>
      <w:snapToGrid w:val="0"/>
      <w:color w:val="000000"/>
      <w:kern w:val="0"/>
      <w:sz w:val="24"/>
      <w:szCs w:val="20"/>
    </w:rPr>
  </w:style>
  <w:style w:type="paragraph" w:styleId="23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rFonts w:asciiTheme="minorHAnsi" w:hAnsiTheme="minorHAnsi" w:eastAsiaTheme="minorEastAsia" w:cstheme="minorBidi"/>
      <w:spacing w:val="0"/>
      <w:sz w:val="22"/>
      <w:szCs w:val="24"/>
      <w:lang w:eastAsia="zh-CN"/>
      <w14:ligatures w14:val="standardContextual"/>
    </w:rPr>
  </w:style>
  <w:style w:type="paragraph" w:styleId="24">
    <w:name w:val="Normal (Web)"/>
    <w:basedOn w:val="1"/>
    <w:qFormat/>
    <w:uiPriority w:val="99"/>
    <w:pPr>
      <w:spacing w:beforeAutospacing="1" w:afterAutospacing="1"/>
      <w:jc w:val="left"/>
    </w:pPr>
    <w:rPr>
      <w:rFonts w:asciiTheme="minorHAnsi" w:hAnsiTheme="minorHAnsi" w:eastAsiaTheme="minorEastAsia"/>
      <w:spacing w:val="0"/>
      <w:kern w:val="0"/>
      <w:sz w:val="24"/>
      <w:szCs w:val="24"/>
      <w:lang w:eastAsia="zh-CN"/>
    </w:rPr>
  </w:style>
  <w:style w:type="paragraph" w:styleId="25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7">
    <w:name w:val="Table Grid"/>
    <w:basedOn w:val="2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b/>
      <w:bCs/>
    </w:rPr>
  </w:style>
  <w:style w:type="character" w:styleId="30">
    <w:name w:val="page number"/>
    <w:basedOn w:val="28"/>
    <w:qFormat/>
    <w:uiPriority w:val="0"/>
    <w:rPr>
      <w:rFonts w:ascii="Times New Roman" w:hAnsi="Times New Roman" w:eastAsia="宋体" w:cs="Times New Roman"/>
    </w:rPr>
  </w:style>
  <w:style w:type="character" w:styleId="31">
    <w:name w:val="FollowedHyperlink"/>
    <w:basedOn w:val="28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2">
    <w:name w:val="Hyperlink"/>
    <w:basedOn w:val="28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33">
    <w:name w:val="标题 字符"/>
    <w:basedOn w:val="28"/>
    <w:link w:val="2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4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标题 3 字符"/>
    <w:basedOn w:val="2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6">
    <w:name w:val="未处理的提及1"/>
    <w:basedOn w:val="2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标题 7 字符"/>
    <w:basedOn w:val="2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引用 字符"/>
    <w:basedOn w:val="28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标题 8 字符"/>
    <w:link w:val="9"/>
    <w:qFormat/>
    <w:uiPriority w:val="0"/>
    <w:rPr>
      <w:rFonts w:eastAsia="宋体"/>
      <w:b/>
      <w:color w:val="000000"/>
      <w:sz w:val="24"/>
    </w:rPr>
  </w:style>
  <w:style w:type="character" w:customStyle="1" w:styleId="40">
    <w:name w:val="标题 1 字符"/>
    <w:basedOn w:val="28"/>
    <w:link w:val="2"/>
    <w:qFormat/>
    <w:uiPriority w:val="0"/>
    <w:rPr>
      <w:rFonts w:eastAsia="仿宋_GB2312" w:cs="Arial"/>
      <w:b/>
      <w:bCs/>
      <w:color w:val="1A1C1E"/>
      <w:spacing w:val="-6"/>
      <w:kern w:val="44"/>
      <w:sz w:val="36"/>
      <w:szCs w:val="32"/>
    </w:rPr>
  </w:style>
  <w:style w:type="paragraph" w:styleId="41">
    <w:name w:val="Intense Quote"/>
    <w:basedOn w:val="1"/>
    <w:next w:val="1"/>
    <w:link w:val="5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paragraph" w:customStyle="1" w:styleId="4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3">
    <w:name w:val="标题 4 字符"/>
    <w:link w:val="5"/>
    <w:qFormat/>
    <w:uiPriority w:val="0"/>
    <w:rPr>
      <w:rFonts w:eastAsia="仿宋"/>
      <w:b/>
      <w:color w:val="000000"/>
      <w:spacing w:val="-6"/>
      <w:kern w:val="2"/>
      <w:sz w:val="28"/>
      <w:szCs w:val="36"/>
    </w:rPr>
  </w:style>
  <w:style w:type="character" w:customStyle="1" w:styleId="44">
    <w:name w:val="标题 6 字符"/>
    <w:basedOn w:val="28"/>
    <w:link w:val="7"/>
    <w:qFormat/>
    <w:uiPriority w:val="0"/>
    <w:rPr>
      <w:rFonts w:ascii="Arial" w:hAnsi="Arial" w:eastAsia="宋体"/>
      <w:b/>
      <w:color w:val="000000"/>
      <w:sz w:val="24"/>
      <w14:ligatures w14:val="none"/>
    </w:rPr>
  </w:style>
  <w:style w:type="character" w:customStyle="1" w:styleId="45">
    <w:name w:val="标题 5 字符"/>
    <w:basedOn w:val="2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paragraph" w:customStyle="1" w:styleId="46">
    <w:name w:val="ds-markdown-paragraph"/>
    <w:basedOn w:val="1"/>
    <w:qFormat/>
    <w:uiPriority w:val="0"/>
    <w:pPr>
      <w:widowControl/>
      <w:snapToGrid w:val="0"/>
      <w:spacing w:before="100" w:beforeAutospacing="1" w:after="100" w:afterAutospacing="1"/>
      <w:jc w:val="left"/>
    </w:pPr>
    <w:rPr>
      <w:rFonts w:ascii="宋体" w:hAnsi="宋体" w:eastAsia="宋体" w:cs="宋体"/>
      <w:spacing w:val="0"/>
      <w:kern w:val="0"/>
      <w:sz w:val="24"/>
      <w:szCs w:val="24"/>
      <w:lang w:eastAsia="zh-CN"/>
    </w:rPr>
  </w:style>
  <w:style w:type="character" w:customStyle="1" w:styleId="47">
    <w:name w:val="明显强调1"/>
    <w:basedOn w:val="28"/>
    <w:qFormat/>
    <w:uiPriority w:val="21"/>
    <w:rPr>
      <w:i/>
      <w:iCs/>
      <w:color w:val="104862" w:themeColor="accent1" w:themeShade="BF"/>
    </w:rPr>
  </w:style>
  <w:style w:type="character" w:customStyle="1" w:styleId="48">
    <w:name w:val="页脚 字符"/>
    <w:basedOn w:val="28"/>
    <w:link w:val="16"/>
    <w:qFormat/>
    <w:uiPriority w:val="0"/>
    <w:rPr>
      <w:rFonts w:ascii="仿宋_GB2312" w:hAnsi="仿宋_GB2312" w:eastAsia="仿宋_GB2312" w:cs="Times New Roman"/>
      <w:spacing w:val="-6"/>
      <w:sz w:val="18"/>
      <w:szCs w:val="32"/>
      <w:lang w:eastAsia="en-US"/>
      <w14:ligatures w14:val="none"/>
    </w:rPr>
  </w:style>
  <w:style w:type="paragraph" w:customStyle="1" w:styleId="49">
    <w:name w:val="样式2"/>
    <w:basedOn w:val="3"/>
    <w:qFormat/>
    <w:uiPriority w:val="0"/>
    <w:pPr>
      <w:numPr>
        <w:ilvl w:val="0"/>
        <w:numId w:val="1"/>
      </w:numPr>
      <w:spacing w:before="260" w:after="260" w:line="413" w:lineRule="auto"/>
    </w:pPr>
    <w:rPr>
      <w:rFonts w:ascii="Arial" w:hAnsi="Arial" w:eastAsia="黑体" w:cstheme="minorBidi"/>
      <w:bCs/>
      <w:color w:val="000000"/>
      <w:sz w:val="28"/>
      <w:szCs w:val="24"/>
    </w:rPr>
  </w:style>
  <w:style w:type="character" w:customStyle="1" w:styleId="50">
    <w:name w:val="标题 9 字符"/>
    <w:basedOn w:val="2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副标题 字符"/>
    <w:basedOn w:val="28"/>
    <w:link w:val="20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52">
    <w:name w:val="ng-star-inserted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pacing w:val="0"/>
      <w:kern w:val="0"/>
      <w:sz w:val="24"/>
      <w:szCs w:val="24"/>
      <w:lang w:eastAsia="zh-CN"/>
    </w:rPr>
  </w:style>
  <w:style w:type="paragraph" w:styleId="53">
    <w:name w:val="List Paragraph"/>
    <w:basedOn w:val="1"/>
    <w:qFormat/>
    <w:uiPriority w:val="34"/>
    <w:pPr>
      <w:ind w:left="720"/>
      <w:contextualSpacing/>
    </w:pPr>
  </w:style>
  <w:style w:type="character" w:customStyle="1" w:styleId="54">
    <w:name w:val="标题 2 字符"/>
    <w:basedOn w:val="2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55">
    <w:name w:val="明显参考1"/>
    <w:basedOn w:val="2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6">
    <w:name w:val="明显引用 字符"/>
    <w:basedOn w:val="28"/>
    <w:link w:val="41"/>
    <w:qFormat/>
    <w:uiPriority w:val="30"/>
    <w:rPr>
      <w:i/>
      <w:iCs/>
      <w:color w:val="104862" w:themeColor="accent1" w:themeShade="BF"/>
    </w:rPr>
  </w:style>
  <w:style w:type="paragraph" w:customStyle="1" w:styleId="57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spacing w:val="0"/>
      <w:kern w:val="0"/>
      <w:sz w:val="24"/>
      <w:szCs w:val="24"/>
      <w:lang w:eastAsia="zh-CN"/>
    </w:rPr>
  </w:style>
  <w:style w:type="character" w:customStyle="1" w:styleId="58">
    <w:name w:val="image-wrapper"/>
    <w:basedOn w:val="28"/>
    <w:qFormat/>
    <w:uiPriority w:val="0"/>
  </w:style>
  <w:style w:type="character" w:customStyle="1" w:styleId="59">
    <w:name w:val="页眉 字符"/>
    <w:basedOn w:val="28"/>
    <w:link w:val="17"/>
    <w:qFormat/>
    <w:uiPriority w:val="99"/>
    <w:rPr>
      <w:rFonts w:ascii="仿宋_GB2312" w:hAnsi="仿宋_GB2312" w:eastAsia="仿宋_GB2312" w:cs="Times New Roman"/>
      <w:spacing w:val="-6"/>
      <w:sz w:val="18"/>
      <w:szCs w:val="18"/>
      <w:lang w:eastAsia="en-US"/>
      <w14:ligatures w14:val="none"/>
    </w:rPr>
  </w:style>
  <w:style w:type="paragraph" w:customStyle="1" w:styleId="60">
    <w:name w:val="BP正文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="Times New Roman" w:hAnsi="Times New Roman" w:eastAsia="仿宋" w:cs="Arial"/>
      <w:color w:val="1A1C1E"/>
      <w:spacing w:val="-6"/>
      <w:kern w:val="2"/>
      <w:sz w:val="28"/>
      <w:szCs w:val="28"/>
      <w:shd w:val="clear" w:color="auto" w:fill="FFFFFF"/>
      <w:lang w:val="en-US" w:eastAsia="zh-CN" w:bidi="ar-SA"/>
    </w:rPr>
  </w:style>
  <w:style w:type="paragraph" w:customStyle="1" w:styleId="61">
    <w:name w:val="一级标题"/>
    <w:basedOn w:val="60"/>
    <w:qFormat/>
    <w:uiPriority w:val="0"/>
    <w:pPr>
      <w:spacing w:before="50" w:beforeLines="50" w:after="50" w:afterLines="50"/>
      <w:outlineLvl w:val="0"/>
    </w:pPr>
    <w:rPr>
      <w:sz w:val="36"/>
    </w:rPr>
  </w:style>
  <w:style w:type="paragraph" w:customStyle="1" w:styleId="62">
    <w:name w:val="二级标题"/>
    <w:basedOn w:val="5"/>
    <w:qFormat/>
    <w:uiPriority w:val="0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7B4F69-89CC-CA4E-953B-D6338E5C3E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5863</Words>
  <Characters>7032</Characters>
  <Lines>58</Lines>
  <Paragraphs>16</Paragraphs>
  <TotalTime>5</TotalTime>
  <ScaleCrop>false</ScaleCrop>
  <LinksUpToDate>false</LinksUpToDate>
  <CharactersWithSpaces>7239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2026-07-17T10:56:00Z</dcterms:created>
  <dc:creator>TrialCompiler 项目组</dc:creator>
  <cp:keywords>临床试验方案, 关联文件, 竞争分析, TrialCompiler</cp:keywords>
  <cp:lastModifiedBy>板栗</cp:lastModifiedBy>
  <cp:lastPrinted>2026-03-01T07:01:00Z</cp:lastPrinted>
  <dcterms:modified xsi:type="dcterms:W3CDTF">2026-07-17T11:03:05Z</dcterms:modified>
  <dc:subject>健康元 AI 先锋未来人才大赛开题研究附件</dc:subject>
  <dc:title>TrialCompiler 临床试验方案及关联文件竞争分析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eyJoZGlkIjoiMjU1M2ZjMjRlNTc5ZmY0Njg4YmNiZGQ3MTVlMDBjMDAiLCJ1c2VySWQiOiIxNjY3MzY4NDc5In0=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74A8183F3EA4431F962D1F4149C4E269_13</vt:lpwstr>
  </property>
</Properties>
</file>