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已上市药物新适应证：AI自主撰写完整临床试验方案测试包</w:t>
      </w:r>
    </w:p>
    <w:p>
      <w:pPr>
        <w:jc w:val="center"/>
      </w:pPr>
      <w:r>
        <w:rPr>
          <w:b/>
          <w:color w:val="9C0006"/>
          <w:sz w:val="22"/>
        </w:rPr>
        <w:t>管理员与评估者文件</w:t>
      </w:r>
    </w:p>
    <w:p/>
    <w:tbl>
      <w:tblPr>
        <w:tblW w:type="auto" w:w="0"/>
        <w:jc w:val="center"/>
        <w:tblLook w:firstColumn="1" w:firstRow="1" w:lastColumn="0" w:lastRow="0" w:noHBand="0" w:noVBand="1" w:val="04A0"/>
      </w:tblPr>
      <w:tblGrid>
        <w:gridCol w:w="9972"/>
      </w:tblGrid>
      <w:tr>
        <w:tc>
          <w:tcPr>
            <w:tcW w:type="dxa" w:w="9972"/>
            <w:shd w:fill="FFF2CC"/>
          </w:tcPr>
          <w:p>
            <w:r>
              <w:rPr>
                <w:rFonts w:ascii="Noto Sans CJK SC" w:hAnsi="Noto Sans CJK SC" w:eastAsia="Noto Sans CJK SC"/>
                <w:b/>
                <w:sz w:val="20"/>
              </w:rPr>
              <w:t>核心边界：</w:t>
            </w:r>
            <w:r>
              <w:rPr>
                <w:sz w:val="20"/>
              </w:rPr>
              <w:t>科学证据截止日期为2021年11月11日。当前法规与方案结构标准可使用后续版本，但不得携带MOBILE IC真实设计或PERMET最终结果等案例答案。</w:t>
            </w:r>
          </w:p>
        </w:tc>
      </w:tr>
    </w:tbl>
    <w:p/>
    <w:p>
      <w:pPr>
        <w:pStyle w:val="Heading1"/>
      </w:pPr>
      <w:r>
        <w:t>一、测试目标</w:t>
      </w:r>
    </w:p>
    <w:p>
      <w:r>
        <w:t>本测试用于评价 AI 在接收药物、疾病、既往试验、终点、法规和临床运营资料后，能否自主形成一份可审评、可执行、可追溯的完整药物临床试验方案。测试课题为二甲双胍缓释剂用于无糖尿病的症状性下肢外周动脉疾病/间歇性跛行。</w:t>
      </w:r>
    </w:p>
    <w:p>
      <w:r>
        <w:t>本案例与“从既有 Protocol/SAP/ICF 中抽取事实并检查一致性”的测试不同。这里的核心对象是研究设计决策：AI 需要从证据中推导目标人群、剂量、对照、主要终点、估量目标、样本量、随机化、访视、安全监测和运营方案，并说明每项关键事实的来源或待确认状态。</w:t>
      </w:r>
    </w:p>
    <w:p>
      <w:pPr>
        <w:pStyle w:val="Heading1"/>
      </w:pPr>
      <w:r>
        <w:t>二、双时间轴与隔离规则</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814"/>
            <w:vAlign w:val="center"/>
            <w:shd w:fill="2F75B5"/>
          </w:tcPr>
          <w:p>
            <w:r/>
            <w:r>
              <w:rPr>
                <w:rFonts w:ascii="Noto Sans CJK SC" w:hAnsi="Noto Sans CJK SC" w:eastAsia="Noto Sans CJK SC"/>
                <w:b/>
                <w:color w:val="FFFFFF"/>
                <w:sz w:val="17"/>
              </w:rPr>
              <w:t>车道</w:t>
            </w:r>
          </w:p>
        </w:tc>
        <w:tc>
          <w:tcPr>
            <w:tcW w:type="dxa" w:w="1814"/>
            <w:vAlign w:val="center"/>
            <w:shd w:fill="2F75B5"/>
          </w:tcPr>
          <w:p>
            <w:r/>
            <w:r>
              <w:rPr>
                <w:rFonts w:ascii="Noto Sans CJK SC" w:hAnsi="Noto Sans CJK SC" w:eastAsia="Noto Sans CJK SC"/>
                <w:b/>
                <w:color w:val="FFFFFF"/>
                <w:sz w:val="17"/>
              </w:rPr>
              <w:t>时间规则</w:t>
            </w:r>
          </w:p>
        </w:tc>
        <w:tc>
          <w:tcPr>
            <w:tcW w:type="dxa" w:w="3402"/>
            <w:vAlign w:val="center"/>
            <w:shd w:fill="2F75B5"/>
          </w:tcPr>
          <w:p>
            <w:r/>
            <w:r>
              <w:rPr>
                <w:rFonts w:ascii="Noto Sans CJK SC" w:hAnsi="Noto Sans CJK SC" w:eastAsia="Noto Sans CJK SC"/>
                <w:b/>
                <w:color w:val="FFFFFF"/>
                <w:sz w:val="17"/>
              </w:rPr>
              <w:t>允许内容</w:t>
            </w:r>
          </w:p>
        </w:tc>
        <w:tc>
          <w:tcPr>
            <w:tcW w:type="dxa" w:w="3402"/>
            <w:vAlign w:val="center"/>
            <w:shd w:fill="2F75B5"/>
          </w:tcPr>
          <w:p>
            <w:r/>
            <w:r>
              <w:rPr>
                <w:rFonts w:ascii="Noto Sans CJK SC" w:hAnsi="Noto Sans CJK SC" w:eastAsia="Noto Sans CJK SC"/>
                <w:b/>
                <w:color w:val="FFFFFF"/>
                <w:sz w:val="17"/>
              </w:rPr>
              <w:t>禁止内容</w:t>
            </w:r>
          </w:p>
        </w:tc>
      </w:tr>
      <w:tr>
        <w:tc>
          <w:tcPr>
            <w:tcW w:type="dxa" w:w="1814"/>
            <w:vAlign w:val="center"/>
          </w:tcPr>
          <w:p>
            <w:r/>
            <w:r>
              <w:rPr>
                <w:rFonts w:ascii="Noto Sans CJK SC" w:hAnsi="Noto Sans CJK SC" w:eastAsia="Noto Sans CJK SC"/>
                <w:b w:val="0"/>
                <w:sz w:val="17"/>
              </w:rPr>
              <w:t>科学证据车道</w:t>
            </w:r>
          </w:p>
        </w:tc>
        <w:tc>
          <w:tcPr>
            <w:tcW w:type="dxa" w:w="1814"/>
            <w:vAlign w:val="center"/>
          </w:tcPr>
          <w:p>
            <w:r/>
            <w:r>
              <w:rPr>
                <w:rFonts w:ascii="Noto Sans CJK SC" w:hAnsi="Noto Sans CJK SC" w:eastAsia="Noto Sans CJK SC"/>
                <w:b w:val="0"/>
                <w:sz w:val="17"/>
              </w:rPr>
              <w:t>≤2021-11-11</w:t>
            </w:r>
          </w:p>
        </w:tc>
        <w:tc>
          <w:tcPr>
            <w:tcW w:type="dxa" w:w="3402"/>
            <w:vAlign w:val="center"/>
          </w:tcPr>
          <w:p>
            <w:r/>
            <w:r>
              <w:rPr>
                <w:rFonts w:ascii="Noto Sans CJK SC" w:hAnsi="Noto Sans CJK SC" w:eastAsia="Noto Sans CJK SC"/>
                <w:b w:val="0"/>
                <w:sz w:val="17"/>
              </w:rPr>
              <w:t>药物上市信息、PAD指南、早期机制研究、截止日前试验和终点研究</w:t>
            </w:r>
          </w:p>
        </w:tc>
        <w:tc>
          <w:tcPr>
            <w:tcW w:type="dxa" w:w="3402"/>
            <w:vAlign w:val="center"/>
          </w:tcPr>
          <w:p>
            <w:r/>
            <w:r>
              <w:rPr>
                <w:rFonts w:ascii="Noto Sans CJK SC" w:hAnsi="Noto Sans CJK SC" w:eastAsia="Noto Sans CJK SC"/>
                <w:b w:val="0"/>
                <w:sz w:val="17"/>
              </w:rPr>
              <w:t>NCT05132439及其方案、2021-11-11后同类结果或修订</w:t>
            </w:r>
          </w:p>
        </w:tc>
      </w:tr>
      <w:tr>
        <w:tc>
          <w:tcPr>
            <w:tcW w:type="dxa" w:w="1814"/>
            <w:vAlign w:val="center"/>
            <w:shd w:fill="F2F2F2"/>
          </w:tcPr>
          <w:p>
            <w:r/>
            <w:r>
              <w:rPr>
                <w:rFonts w:ascii="Noto Sans CJK SC" w:hAnsi="Noto Sans CJK SC" w:eastAsia="Noto Sans CJK SC"/>
                <w:b w:val="0"/>
                <w:sz w:val="17"/>
              </w:rPr>
              <w:t>现行监管车道</w:t>
            </w:r>
          </w:p>
        </w:tc>
        <w:tc>
          <w:tcPr>
            <w:tcW w:type="dxa" w:w="1814"/>
            <w:vAlign w:val="center"/>
            <w:shd w:fill="F2F2F2"/>
          </w:tcPr>
          <w:p>
            <w:r>
              <w:t>截至2026-07-18</w:t>
            </w:r>
          </w:p>
        </w:tc>
        <w:tc>
          <w:tcPr>
            <w:tcW w:type="dxa" w:w="3402"/>
            <w:vAlign w:val="center"/>
            <w:shd w:fill="F2F2F2"/>
          </w:tcPr>
          <w:p>
            <w:r/>
            <w:r>
              <w:rPr>
                <w:rFonts w:ascii="Noto Sans CJK SC" w:hAnsi="Noto Sans CJK SC" w:eastAsia="Noto Sans CJK SC"/>
                <w:b w:val="0"/>
                <w:sz w:val="17"/>
              </w:rPr>
              <w:t>ICH、FDA、NMPA/CDE现行注册和GCP逻辑</w:t>
            </w:r>
          </w:p>
        </w:tc>
        <w:tc>
          <w:tcPr>
            <w:tcW w:type="dxa" w:w="3402"/>
            <w:vAlign w:val="center"/>
            <w:shd w:fill="F2F2F2"/>
          </w:tcPr>
          <w:p>
            <w:r/>
            <w:r>
              <w:rPr>
                <w:rFonts w:ascii="Noto Sans CJK SC" w:hAnsi="Noto Sans CJK SC" w:eastAsia="Noto Sans CJK SC"/>
                <w:b w:val="0"/>
                <w:sz w:val="17"/>
              </w:rPr>
              <w:t>包含案例答案的监管会议纪要或审评结论</w:t>
            </w:r>
          </w:p>
        </w:tc>
      </w:tr>
      <w:tr>
        <w:tc>
          <w:tcPr>
            <w:tcW w:type="dxa" w:w="1814"/>
            <w:vAlign w:val="center"/>
          </w:tcPr>
          <w:p>
            <w:r/>
            <w:r>
              <w:rPr>
                <w:rFonts w:ascii="Noto Sans CJK SC" w:hAnsi="Noto Sans CJK SC" w:eastAsia="Noto Sans CJK SC"/>
                <w:b w:val="0"/>
                <w:sz w:val="17"/>
              </w:rPr>
              <w:t>评估者隐藏车道</w:t>
            </w:r>
          </w:p>
        </w:tc>
        <w:tc>
          <w:tcPr>
            <w:tcW w:type="dxa" w:w="1814"/>
            <w:vAlign w:val="center"/>
          </w:tcPr>
          <w:p>
            <w:r/>
            <w:r>
              <w:rPr>
                <w:rFonts w:ascii="Noto Sans CJK SC" w:hAnsi="Noto Sans CJK SC" w:eastAsia="Noto Sans CJK SC"/>
                <w:b w:val="0"/>
                <w:sz w:val="17"/>
              </w:rPr>
              <w:t>不限</w:t>
            </w:r>
          </w:p>
        </w:tc>
        <w:tc>
          <w:tcPr>
            <w:tcW w:type="dxa" w:w="3402"/>
            <w:vAlign w:val="center"/>
          </w:tcPr>
          <w:p>
            <w:r/>
            <w:r>
              <w:rPr>
                <w:rFonts w:ascii="Noto Sans CJK SC" w:hAnsi="Noto Sans CJK SC" w:eastAsia="Noto Sans CJK SC"/>
                <w:b w:val="0"/>
                <w:sz w:val="17"/>
              </w:rPr>
              <w:t>MOBILE IC真实方案、PERMET最终结果、评分金标准</w:t>
            </w:r>
          </w:p>
        </w:tc>
        <w:tc>
          <w:tcPr>
            <w:tcW w:type="dxa" w:w="3402"/>
            <w:vAlign w:val="center"/>
          </w:tcPr>
          <w:p>
            <w:r/>
            <w:r>
              <w:rPr>
                <w:rFonts w:ascii="Noto Sans CJK SC" w:hAnsi="Noto Sans CJK SC" w:eastAsia="Noto Sans CJK SC"/>
                <w:b w:val="0"/>
                <w:sz w:val="17"/>
              </w:rPr>
              <w:t>不得输入生成模型</w:t>
            </w:r>
          </w:p>
        </w:tc>
      </w:tr>
    </w:tbl>
    <w:p/>
    <w:p>
      <w:pPr>
        <w:pStyle w:val="Heading1"/>
      </w:pPr>
      <w:r>
        <w:t>三、建议运行流程</w:t>
      </w:r>
    </w:p>
    <w:p>
      <w:pPr>
        <w:pStyle w:val="ListNumber"/>
      </w:pPr>
      <w:r>
        <w:t>阶段1：仅向AI开放“01_AI_VISIBLE_PHASE1”。要求先生成关键问题清单、证据矩阵、Protocol Synopsis、Trial Fact Sheet和完整Protocol初稿。</w:t>
      </w:r>
    </w:p>
    <w:p>
      <w:pPr>
        <w:pStyle w:val="ListNumber"/>
      </w:pPr>
      <w:r>
        <w:t>阶段2：开放“02_AI_VISIBLE_PHASE2”。要求AI根据模拟FDA/CDE意见、中心可行性和申办方决策修订方案，并输出修订理由、红线摘要和受影响对象。</w:t>
      </w:r>
    </w:p>
    <w:p>
      <w:pPr>
        <w:pStyle w:val="ListNumber"/>
      </w:pPr>
      <w:r>
        <w:t>阶段3：评估者使用“03_EVALUATOR_ONLY”评分。真实方案只作为参照，不以文本相似度作为唯一标准。</w:t>
      </w:r>
    </w:p>
    <w:p>
      <w:pPr>
        <w:pStyle w:val="ListNumber"/>
      </w:pPr>
      <w:r>
        <w:t>阶段4：检查所有关键设计事实是否可回溯至输入资料；资料不足时是否保留TBD/假设，而非虚构确定性事实。</w:t>
      </w:r>
    </w:p>
    <w:p>
      <w:pPr>
        <w:pStyle w:val="Heading1"/>
      </w:pPr>
      <w:r>
        <w:t>四、主要交付物</w:t>
      </w:r>
    </w:p>
    <w:p>
      <w:pPr>
        <w:pStyle w:val="ListBullet"/>
      </w:pPr>
      <w:r>
        <w:t>完整临床试验方案（建议英文主体，中文结构化摘要）；</w:t>
      </w:r>
    </w:p>
    <w:p>
      <w:pPr>
        <w:pStyle w:val="ListBullet"/>
      </w:pPr>
      <w:r>
        <w:t>Protocol Synopsis 与 Schedule of Activities；</w:t>
      </w:r>
    </w:p>
    <w:p>
      <w:pPr>
        <w:pStyle w:val="ListBullet"/>
      </w:pPr>
      <w:r>
        <w:t>Trial Fact Sheet、假设清单、未决问题和来源证据表；</w:t>
      </w:r>
    </w:p>
    <w:p>
      <w:pPr>
        <w:pStyle w:val="ListBullet"/>
      </w:pPr>
      <w:r>
        <w:t>FDA 与 NMPA 注册策略附件；</w:t>
      </w:r>
    </w:p>
    <w:p>
      <w:pPr>
        <w:pStyle w:val="ListBullet"/>
      </w:pPr>
      <w:r>
        <w:t>样本量推导、估量目标、缺失数据与敏感性分析概要；</w:t>
      </w:r>
    </w:p>
    <w:p>
      <w:pPr>
        <w:pStyle w:val="ListBullet"/>
      </w:pPr>
      <w:r>
        <w:t>临床运营可行性、风险控制和中心标准化计划；</w:t>
      </w:r>
    </w:p>
    <w:p>
      <w:pPr>
        <w:pStyle w:val="ListBullet"/>
      </w:pPr>
      <w:r>
        <w:t>阶段2修订后的变更影响矩阵。</w:t>
      </w:r>
    </w:p>
    <w:p>
      <w:pPr>
        <w:pStyle w:val="Heading1"/>
      </w:pPr>
      <w:r>
        <w:t>五、硬性失败条件</w:t>
      </w:r>
    </w:p>
    <w:p>
      <w:pPr>
        <w:pStyle w:val="ListBullet"/>
      </w:pPr>
      <w:r>
        <w:t>把机制或糖尿病人群证据直接写成非糖尿病PAD患者的已证实临床疗效；</w:t>
      </w:r>
    </w:p>
    <w:p>
      <w:pPr>
        <w:pStyle w:val="ListBullet"/>
      </w:pPr>
      <w:r>
        <w:t>忽略肾功能、乳酸性酸中毒、造影剂、急性缺氧/手术和B12等安全控制；</w:t>
      </w:r>
    </w:p>
    <w:p>
      <w:pPr>
        <w:pStyle w:val="ListBullet"/>
      </w:pPr>
      <w:r>
        <w:t>主要终点、SoA、统计分析时间点和CRF采集计划不一致；</w:t>
      </w:r>
    </w:p>
    <w:p>
      <w:pPr>
        <w:pStyle w:val="ListBullet"/>
      </w:pPr>
      <w:r>
        <w:t>样本量无法从效应量、方差、显著性水平、把握度和脱落率复算；</w:t>
      </w:r>
    </w:p>
    <w:p>
      <w:pPr>
        <w:pStyle w:val="ListBullet"/>
      </w:pPr>
      <w:r>
        <w:t>意图支持新适应证标签却错误认定FDA IND豁免；</w:t>
      </w:r>
    </w:p>
    <w:p>
      <w:pPr>
        <w:pStyle w:val="ListBullet"/>
      </w:pPr>
      <w:r>
        <w:t>在中国路径中忽略2.4类新适应证、CTA、中文申报、境外数据适用性或中国中心执行要求；</w:t>
      </w:r>
    </w:p>
    <w:p>
      <w:pPr>
        <w:pStyle w:val="ListBullet"/>
      </w:pPr>
      <w:r>
        <w:t>未吸收既往试验招募失败，形成无法完成的入排和中心计划；</w:t>
      </w:r>
    </w:p>
    <w:p>
      <w:pPr>
        <w:pStyle w:val="ListBullet"/>
      </w:pPr>
      <w:r>
        <w:t>未标明来源或将未知信息静默写为事实。</w:t>
      </w:r>
    </w:p>
    <w:p>
      <w:pPr>
        <w:pStyle w:val="Heading1"/>
      </w:pPr>
      <w:r>
        <w:t>六、使用声明</w:t>
      </w:r>
    </w:p>
    <w:p>
      <w:r>
        <w:t>全部项目约束、会议纪要和运营数据均为合成材料。公开文献仅用于原型测试。该测试包不构成医学、统计、伦理或注册建议，也不能直接用于真实临床试验申报。</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仅用于公开资料与合成案例原型测试；不得用于实际临床决策或申报。</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TrialCompiler 生成型方案测试包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