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历史截断与泄漏控制规则</w:t>
      </w:r>
    </w:p>
    <w:p>
      <w:pPr>
        <w:jc w:val="center"/>
      </w:pPr>
      <w:r>
        <w:rPr>
          <w:b/>
          <w:color w:val="9C0006"/>
          <w:sz w:val="22"/>
        </w:rPr>
        <w:t>管理员与评估者文件</w:t>
      </w:r>
    </w:p>
    <w:p/>
    <w:p>
      <w:pPr>
        <w:pStyle w:val="Heading1"/>
      </w:pPr>
      <w:r>
        <w:t>一、截止日期</w:t>
      </w:r>
    </w:p>
    <w:p>
      <w:r>
        <w:t>科学证据和案例资料截止于 2021 年 11 月 11 日。MOBILE IC 的 ClinicalTrials.gov 记录于次日首次提交，因此该日期用于阻断真实参考方案泄漏。</w:t>
      </w:r>
    </w:p>
    <w:p>
      <w:pPr>
        <w:pStyle w:val="Heading1"/>
      </w:pPr>
      <w:r>
        <w:t>二、可见性判定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02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资料类型</w:t>
            </w:r>
          </w:p>
        </w:tc>
        <w:tc>
          <w:tcPr>
            <w:tcW w:type="dxa" w:w="1701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AI可见性</w:t>
            </w:r>
          </w:p>
        </w:tc>
        <w:tc>
          <w:tcPr>
            <w:tcW w:type="dxa" w:w="5669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截止日前疾病、药物、机制、终点和既往试验资料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可全文或摘要输入；记录发布日期和来源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截止日后发布的通用法规/指南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条件可见</w:t>
            </w:r>
          </w:p>
        </w:tc>
        <w:tc>
          <w:tcPr>
            <w:tcW w:type="dxa" w:w="56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只进入“现行监管车道”；不得包含案例具体答案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截止日后发布的相同药物-相同适应证方案/结果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隐藏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只供评估者使用</w:t>
            </w:r>
          </w:p>
        </w:tc>
      </w:tr>
      <w:tr>
        <w:tc>
          <w:tcPr>
            <w:tcW w:type="dxa" w:w="34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搜索引擎摘要、模型记忆和未验证二手内容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不可作为事实</w:t>
            </w:r>
          </w:p>
        </w:tc>
        <w:tc>
          <w:tcPr>
            <w:tcW w:type="dxa" w:w="56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必须回到原始注册库、监管机构或论文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合成申办方约束、会议纪要、运营数据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必须标注“SYNTHETIC”，不得当作真实监管意见</w:t>
            </w:r>
          </w:p>
        </w:tc>
      </w:tr>
    </w:tbl>
    <w:p/>
    <w:p>
      <w:pPr>
        <w:pStyle w:val="Heading1"/>
      </w:pPr>
      <w:r>
        <w:t>三、运行隔离</w:t>
      </w:r>
    </w:p>
    <w:p>
      <w:pPr>
        <w:pStyle w:val="ListBullet"/>
      </w:pPr>
      <w:r>
        <w:t>生成模型的系统提示中明确禁止检索 NCT05132439、MOBILE IC、PMC9862509、PERMET 2026结果及其同义词。</w:t>
      </w:r>
    </w:p>
    <w:p>
      <w:pPr>
        <w:pStyle w:val="ListBullet"/>
      </w:pPr>
      <w:r>
        <w:t>若原型具备联网检索能力，应使用域名、关键词和日期过滤器；同时保存检索日志。</w:t>
      </w:r>
    </w:p>
    <w:p>
      <w:pPr>
        <w:pStyle w:val="ListBullet"/>
      </w:pPr>
      <w:r>
        <w:t>评估者目录与AI输入目录物理隔离，压缩包解压后不得整体上传给AI。</w:t>
      </w:r>
    </w:p>
    <w:p>
      <w:pPr>
        <w:pStyle w:val="ListBullet"/>
      </w:pPr>
      <w:r>
        <w:t>每次运行记录模型版本、温度、系统提示、输入文件哈希、运行日期和输出文件哈希。</w:t>
      </w:r>
    </w:p>
    <w:p>
      <w:pPr>
        <w:pStyle w:val="ListBullet"/>
      </w:pPr>
      <w:r>
        <w:t>任何疑似泄漏的特异性设计组合，应在Leakage Audit中登记并由人工判断。</w:t>
      </w:r>
    </w:p>
    <w:p>
      <w:pPr>
        <w:pStyle w:val="Heading1"/>
      </w:pPr>
      <w:r>
        <w:t>四、疑似泄漏信号</w:t>
      </w:r>
    </w:p>
    <w:p>
      <w:pPr>
        <w:pStyle w:val="ListBullet"/>
      </w:pPr>
      <w:r>
        <w:t>未经输入支持，AI精确给出“1000 mg/day、200例、6个月主要终点、12个月随访、按基线6MWD与吸烟分层”等完整组合；</w:t>
      </w:r>
    </w:p>
    <w:p>
      <w:pPr>
        <w:pStyle w:val="ListBullet"/>
      </w:pPr>
      <w:r>
        <w:t>出现 MOBILE IC、CARB-012-20F、I01CX002150 或 PMC9862509；</w:t>
      </w:r>
    </w:p>
    <w:p>
      <w:pPr>
        <w:pStyle w:val="ListBullet"/>
      </w:pPr>
      <w:r>
        <w:t>引用2023年MOBILE IC方案论文或2026年PERMET结果；</w:t>
      </w:r>
    </w:p>
    <w:p>
      <w:pPr>
        <w:pStyle w:val="ListBullet"/>
      </w:pPr>
      <w:r>
        <w:t>使用只有隐藏资料中出现的访视细节、委员会结构或特定排除标准。</w:t>
      </w:r>
    </w:p>
    <w:p>
      <w:pPr>
        <w:pStyle w:val="Heading1"/>
      </w:pPr>
      <w:r>
        <w:t>五、泄漏不等于相似</w:t>
      </w:r>
    </w:p>
    <w:p>
      <w:r>
        <w:t>某些设计选择可由公开先验合理推导，例如6分钟步行、6个月治疗、安慰剂对照和肾功能阈值。只有在缺乏可见证据时出现高度特异的设计组合，或出现隐藏项目标识符，才应优先判定为泄漏。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