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AI任务书与合成项目简报</w:t>
      </w:r>
    </w:p>
    <w:p>
      <w:pPr>
        <w:jc w:val="center"/>
      </w:pPr>
      <w:r>
        <w:rPr>
          <w:b/>
          <w:color w:val="2F75B5"/>
          <w:sz w:val="22"/>
        </w:rPr>
        <w:t>AI可见：阶段1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任务目标：</w:t>
            </w:r>
            <w:r>
              <w:rPr>
                <w:sz w:val="20"/>
              </w:rPr>
              <w:t>基于本目录资料自主设计一项全球、多中心、随机对照药物临床试验，并撰写完整Protocol。资料不足时提出问题或使用TBD，不得检索或引用隐藏参考项目。</w:t>
            </w:r>
          </w:p>
        </w:tc>
      </w:tr>
    </w:tbl>
    <w:p/>
    <w:p>
      <w:pPr>
        <w:pStyle w:val="Heading1"/>
      </w:pPr>
      <w:r>
        <w:t>一、开发问题</w:t>
      </w:r>
    </w:p>
    <w:p>
      <w:r>
        <w:t>申办方拟开发已上市的 metformin extended-release（Metformin ER），用于改善无糖尿病、症状性下肢外周动脉疾病患者的步行功能和日常活动能力。目标适应证草案为：改善伴间歇性跛行的成人下肢外周动脉疾病患者的功能性步行能力。</w:t>
      </w:r>
    </w:p>
    <w:p>
      <w:pPr>
        <w:pStyle w:val="Heading1"/>
      </w:pPr>
      <w:r>
        <w:t>二、产品与权利假设（合成）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37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合成输入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活性成分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Metformin hydrochloride；已在美国和中国上市用于2型糖尿病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拟用制剂</w:t>
            </w:r>
          </w:p>
        </w:tc>
        <w:tc>
          <w:tcPr>
            <w:tcW w:type="dxa" w:w="7937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缓释片/过度包封胶囊；可提供500 mg单位剂量及匹配安慰剂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美国商业权利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申办方不是原研NDA持有人，但可依法引用公开信息并拟讨论505(b)(2)路径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中国商业权利</w:t>
            </w:r>
          </w:p>
        </w:tc>
        <w:tc>
          <w:tcPr>
            <w:tcW w:type="dxa" w:w="7937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申办方拟按已知活性成分新适应证开展化药2.4类开发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供应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可为美国和中国提供同一处方/工艺的临床批次；跨区域放行和稳定性文件需要6个月准备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开发目标</w:t>
            </w:r>
          </w:p>
        </w:tc>
        <w:tc>
          <w:tcPr>
            <w:tcW w:type="dxa" w:w="7937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形成可支持后续标签扩展的临床证据，不以纯学术研究为目的</w:t>
            </w:r>
          </w:p>
        </w:tc>
      </w:tr>
    </w:tbl>
    <w:p/>
    <w:p>
      <w:pPr>
        <w:pStyle w:val="Heading1"/>
      </w:pPr>
      <w:r>
        <w:t>三、研究范围与资源约束（合成）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7370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数值/条件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总随机例数预算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建议控制在180–260例；AI需根据样本量推导提出最终值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地区与中心</w:t>
            </w:r>
          </w:p>
        </w:tc>
        <w:tc>
          <w:tcPr>
            <w:tcW w:type="dxa" w:w="7370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美国8家、中国12家；可根据可行性删减，但不得超过24家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招募窗口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首例入组后18个月内完成随机；中心启动准备期约6个月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单例主要治疗期</w:t>
            </w:r>
          </w:p>
        </w:tc>
        <w:tc>
          <w:tcPr>
            <w:tcW w:type="dxa" w:w="7370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不超过26周；可增加停药后随访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总项目周期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从首中心启动至数据库锁定不超过36个月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对照条件</w:t>
            </w:r>
          </w:p>
        </w:tc>
        <w:tc>
          <w:tcPr>
            <w:tcW w:type="dxa" w:w="7370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允许匹配安慰剂；所有受试者维持PAD标准治疗和统一运动建议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受试者负担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现场访视原则上不超过8次；可安排电话/远程安全随访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检测能力</w:t>
            </w:r>
          </w:p>
        </w:tc>
        <w:tc>
          <w:tcPr>
            <w:tcW w:type="dxa" w:w="7370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所有中心可做ABI和6MWT；仅部分中心具备CPET、FMD和肌肉活检能力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主要目标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临床功能获益；生物标志物仅可作为机制/探索性终点</w:t>
            </w:r>
          </w:p>
        </w:tc>
      </w:tr>
    </w:tbl>
    <w:p/>
    <w:p>
      <w:pPr>
        <w:pStyle w:val="Heading1"/>
      </w:pPr>
      <w:r>
        <w:t>四、AI需要自主决定的关键设计事实</w:t>
      </w:r>
    </w:p>
    <w:p>
      <w:pPr>
        <w:pStyle w:val="ListBullet"/>
      </w:pPr>
      <w:r>
        <w:t>试验阶段和在全球开发计划中的定位；</w:t>
      </w:r>
    </w:p>
    <w:p>
      <w:pPr>
        <w:pStyle w:val="ListBullet"/>
      </w:pPr>
      <w:r>
        <w:t>目标人群、症状和PAD确诊标准，以及糖尿病排除边界；</w:t>
      </w:r>
    </w:p>
    <w:p>
      <w:pPr>
        <w:pStyle w:val="ListBullet"/>
      </w:pPr>
      <w:r>
        <w:t>Metformin ER的起始剂量、递增、目标剂量、降阶和停药规则；</w:t>
      </w:r>
    </w:p>
    <w:p>
      <w:pPr>
        <w:pStyle w:val="ListBullet"/>
      </w:pPr>
      <w:r>
        <w:t>主要终点、主要时间点、估量目标和临床意义阈值；</w:t>
      </w:r>
    </w:p>
    <w:p>
      <w:pPr>
        <w:pStyle w:val="ListBullet"/>
      </w:pPr>
      <w:r>
        <w:t>样本量、随机化、分层、盲法和分析人群；</w:t>
      </w:r>
    </w:p>
    <w:p>
      <w:pPr>
        <w:pStyle w:val="ListBullet"/>
      </w:pPr>
      <w:r>
        <w:t>运动治疗、标准药物治疗、血运重建和其他并发干预的控制；</w:t>
      </w:r>
    </w:p>
    <w:p>
      <w:pPr>
        <w:pStyle w:val="ListBullet"/>
      </w:pPr>
      <w:r>
        <w:t>SoA、安全监测、肾功能/造影剂/手术管理和独立安全监督；</w:t>
      </w:r>
    </w:p>
    <w:p>
      <w:pPr>
        <w:pStyle w:val="ListBullet"/>
      </w:pPr>
      <w:r>
        <w:t>中国与美国的注册路径和区域实施差异；</w:t>
      </w:r>
    </w:p>
    <w:p>
      <w:pPr>
        <w:pStyle w:val="ListBullet"/>
      </w:pPr>
      <w:r>
        <w:t>招募、中心能力、终点认证、IMP供应和数据质量方案。</w:t>
      </w:r>
    </w:p>
    <w:p>
      <w:pPr>
        <w:pStyle w:val="Heading1"/>
      </w:pPr>
      <w:r>
        <w:t>五、阶段1输出要求</w:t>
      </w:r>
    </w:p>
    <w:p>
      <w:pPr>
        <w:pStyle w:val="ListNumber"/>
      </w:pPr>
      <w:r>
        <w:t>设计前关键问题清单：按医学、统计、注册、运营、CMC/IMP和伦理分类。</w:t>
      </w:r>
    </w:p>
    <w:p>
      <w:pPr>
        <w:pStyle w:val="ListNumber"/>
      </w:pPr>
      <w:r>
        <w:t>证据矩阵：每项关键设计决策应链接到Source ID；区分直接证据、外推证据、假设和TBD。</w:t>
      </w:r>
    </w:p>
    <w:p>
      <w:pPr>
        <w:pStyle w:val="ListNumber"/>
      </w:pPr>
      <w:r>
        <w:t>Protocol Synopsis：包含目标、设计、人群、干预、终点、样本量、随机化和安全监测。</w:t>
      </w:r>
    </w:p>
    <w:p>
      <w:pPr>
        <w:pStyle w:val="ListNumber"/>
      </w:pPr>
      <w:r>
        <w:t>完整Protocol：采用提供的结构模板，正文内部保持跨章节一致。</w:t>
      </w:r>
    </w:p>
    <w:p>
      <w:pPr>
        <w:pStyle w:val="ListNumber"/>
      </w:pPr>
      <w:r>
        <w:t>全球核心SoA，并标注可能需要中国/美国区域附录的项目。</w:t>
      </w:r>
    </w:p>
    <w:p>
      <w:pPr>
        <w:pStyle w:val="ListNumber"/>
      </w:pPr>
      <w:r>
        <w:t>FDA与NMPA注册策略附件；明确尚需监管沟通的问题。</w:t>
      </w:r>
    </w:p>
    <w:p>
      <w:pPr>
        <w:pStyle w:val="ListNumber"/>
      </w:pPr>
      <w:r>
        <w:t>Trial Fact Sheet、依赖关系和文档单元测试清单。</w:t>
      </w:r>
    </w:p>
    <w:p>
      <w:pPr>
        <w:pStyle w:val="Heading1"/>
      </w:pPr>
      <w:r>
        <w:t>六、禁止事项</w:t>
      </w:r>
    </w:p>
    <w:p>
      <w:pPr>
        <w:pStyle w:val="ListBullet"/>
      </w:pPr>
      <w:r>
        <w:t>不得搜索或引用 NCT05132439、MOBILE IC、PMC9862509 或2026年PERMET结果；</w:t>
      </w:r>
    </w:p>
    <w:p>
      <w:pPr>
        <w:pStyle w:val="ListBullet"/>
      </w:pPr>
      <w:r>
        <w:t>不得将本项目描述为已获FDA/CDE认可；</w:t>
      </w:r>
    </w:p>
    <w:p>
      <w:pPr>
        <w:pStyle w:val="ListBullet"/>
      </w:pPr>
      <w:r>
        <w:t>不得为缺失的药学、毒理、稳定性或临床数据编造数值；</w:t>
      </w:r>
    </w:p>
    <w:p>
      <w:pPr>
        <w:pStyle w:val="ListBullet"/>
      </w:pPr>
      <w:r>
        <w:t>不得把真实药品说明书中的糖尿病疗效直接外推为PAD疗效；</w:t>
      </w:r>
    </w:p>
    <w:p>
      <w:pPr>
        <w:pStyle w:val="ListBullet"/>
      </w:pPr>
      <w:r>
        <w:t>不得自动假定FDA IND豁免或中国可免CTA。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仅用于公开资料与合成案例原型测试；不得用于实际临床决策或申报。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TrialCompiler 生成型方案测试包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