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Metformin ER 合成研究者手册摘要</w:t>
      </w:r>
    </w:p>
    <w:p>
      <w:pPr>
        <w:jc w:val="center"/>
      </w:pPr>
      <w:r>
        <w:rPr>
          <w:b/>
          <w:color w:val="2F75B5"/>
          <w:sz w:val="22"/>
        </w:rPr>
        <w:t>AI可见：阶段1；SYNTHETIC，非真实IB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使用限制：</w:t>
            </w:r>
            <w:r>
              <w:rPr>
                <w:sz w:val="20"/>
              </w:rPr>
              <w:t>本文件由公开药品标签和文献整理，仅用于测试。任何未在公开资料中证实的项目均标为“假设/TBD”。</w:t>
            </w:r>
          </w:p>
        </w:tc>
      </w:tr>
    </w:tbl>
    <w:p/>
    <w:p>
      <w:pPr>
        <w:pStyle w:val="Heading1"/>
      </w:pPr>
      <w:r>
        <w:t>一、产品概况</w:t>
      </w:r>
    </w:p>
    <w:p>
      <w:r>
        <w:t>Metformin 是双胍类口服药，已批准用于改善2型糖尿病患者的血糖控制。本测试拟评价其在无糖尿病、症状性PAD患者中的功能性获益，属于未批准适应证。临床疗效尚未建立。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5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测试输入</w:t>
            </w:r>
          </w:p>
        </w:tc>
        <w:tc>
          <w:tcPr>
            <w:tcW w:type="dxa" w:w="3969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证据/状态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剂型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Metformin ER 500 mg单位剂量；整片吞服/过度包封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R01；拟用临床制剂最终规格TBD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常规起始剂量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 mg每日一次，随晚餐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R01；仅为已批准用法参考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常规递增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每周增加500 mg，最高2000 mg/day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R01；PAD目标剂量需独立论证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主要清除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肾脏排泄，肾功能下降增加蓄积风险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R01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目标适应证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非糖尿病PAD/间歇性跛行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合成开发目标；疗效未知</w:t>
            </w:r>
          </w:p>
        </w:tc>
      </w:tr>
    </w:tbl>
    <w:p/>
    <w:p>
      <w:pPr>
        <w:pStyle w:val="Heading1"/>
      </w:pPr>
      <w:r>
        <w:t>二、已知重要风险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252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机制/情境</w:t>
            </w:r>
          </w:p>
        </w:tc>
        <w:tc>
          <w:tcPr>
            <w:tcW w:type="dxa" w:w="45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方案控制要求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Metformin相关乳酸性酸中毒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肾功能不全、缺氧、脓毒症、心衰失代偿、肝损害、过量饮酒、围手术禁食等增加风险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入排标准、定期eGFR、急性疾病/手术暂停、紧急停药和SAE流程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含碘造影剂</w:t>
            </w:r>
          </w:p>
        </w:tc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部分患者造影后肾功能急性下降，增加蓄积风险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识别计划造影；按eGFR和风险因素暂停；48 h后复查并决定重启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胃肠道不耐受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腹泻、恶心/呕吐、腹胀、消化不良和腹部不适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缓慢递增、随餐、剂量降阶、依从性和停药规则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维生素B12降低</w:t>
            </w:r>
          </w:p>
        </w:tc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长期使用可降低B12水平，可能伴贫血/神经症状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基线风险评估；较长随访时监测或保留样本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低血糖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单药通常风险低；与胰岛素/促泌剂合用时增加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本研究排除糖尿病并限制降糖药；记录低血糖样症状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肝功能/过量饮酒</w:t>
            </w:r>
          </w:p>
        </w:tc>
        <w:tc>
          <w:tcPr>
            <w:tcW w:type="dxa" w:w="425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影响乳酸清除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排除活动性肝病和高风险饮酒</w:t>
            </w:r>
          </w:p>
        </w:tc>
      </w:tr>
    </w:tbl>
    <w:p/>
    <w:p>
      <w:pPr>
        <w:pStyle w:val="Heading1"/>
      </w:pPr>
      <w:r>
        <w:t>三、肾功能与暂停/停药框架</w:t>
      </w:r>
    </w:p>
    <w:p>
      <w:pPr>
        <w:pStyle w:val="ListBullet"/>
      </w:pPr>
      <w:r>
        <w:t>公开标签：eGFR &lt;30 mL/min/1.73m²禁用；eGFR 30–45不建议启动；治疗中降至&lt;45需重新评估获益风险。</w:t>
      </w:r>
    </w:p>
    <w:p>
      <w:pPr>
        <w:pStyle w:val="ListBullet"/>
      </w:pPr>
      <w:r>
        <w:t>本PAD人群年龄偏大且合并心血管病，研究入组阈值可能需要高于标签最低要求。AI应结合安全性、外部效度和招募可行性确定。</w:t>
      </w:r>
    </w:p>
    <w:p>
      <w:pPr>
        <w:pStyle w:val="ListBullet"/>
      </w:pPr>
      <w:r>
        <w:t>急性缺氧、脓毒症、休克、急性心衰、急性心肌梗死、严重脱水、禁食手术和显著肾功能恶化应触发临时或永久停药评估。</w:t>
      </w:r>
    </w:p>
    <w:p>
      <w:pPr>
        <w:pStyle w:val="ListBullet"/>
      </w:pPr>
      <w:r>
        <w:t>造影剂流程需与计划血管影像/血运重建路径协调，避免把临床必需治疗视为单纯方案偏离。</w:t>
      </w:r>
    </w:p>
    <w:p>
      <w:pPr>
        <w:pStyle w:val="Heading1"/>
      </w:pPr>
      <w:r>
        <w:t>四、剂量选择需要解决的问题</w:t>
      </w:r>
    </w:p>
    <w:p>
      <w:pPr>
        <w:pStyle w:val="ListBullet"/>
      </w:pPr>
      <w:r>
        <w:t>目标剂量是否为1000 mg/day或2000 mg/day；较高剂量可能提高生物效应，也可能降低耐受性和依从性。</w:t>
      </w:r>
    </w:p>
    <w:p>
      <w:pPr>
        <w:pStyle w:val="ListBullet"/>
      </w:pPr>
      <w:r>
        <w:t>是否设置2–4周递增期、允许500 mg/day维持或短期中断；如何定义治疗策略估量目标。</w:t>
      </w:r>
    </w:p>
    <w:p>
      <w:pPr>
        <w:pStyle w:val="ListBullet"/>
      </w:pPr>
      <w:r>
        <w:t>无糖尿病PAD人群的风险因素与糖尿病患者不同，必须结合年龄、肾功能、缺氧和造影需求进行剂量风险评估。</w:t>
      </w:r>
    </w:p>
    <w:p>
      <w:pPr>
        <w:pStyle w:val="ListBullet"/>
      </w:pPr>
      <w:r>
        <w:t>如使用过度包封，需评估ER释放、盲法、吞咽负担和制剂可比性。</w:t>
      </w:r>
    </w:p>
    <w:p>
      <w:pPr>
        <w:pStyle w:val="Heading1"/>
      </w:pPr>
      <w:r>
        <w:t>五、机制与临床证据边界</w:t>
      </w:r>
    </w:p>
    <w:p>
      <w:r>
        <w:t>公开研究提示 metformin 可能影响内皮功能、氧化应激、炎症和线粒体代谢，但主要证据来自糖尿病或不同疾病人群。该证据只能支持生物学合理性和探索性标志物，不能作为PAD步行获益的直接证据。</w:t>
      </w:r>
    </w:p>
    <w:p>
      <w:pPr>
        <w:pStyle w:val="Heading1"/>
      </w:pPr>
      <w:r>
        <w:t>六、待补充资料（TBD）</w:t>
      </w:r>
    </w:p>
    <w:p>
      <w:pPr>
        <w:pStyle w:val="ListBullet"/>
      </w:pPr>
      <w:r>
        <w:t>最终临床批次处方、过度包封可比性、稳定性和各地区放行资料；</w:t>
      </w:r>
    </w:p>
    <w:p>
      <w:pPr>
        <w:pStyle w:val="ListBullet"/>
      </w:pPr>
      <w:r>
        <w:t>拟用制剂的完整药品标签、药物主文件/质量资料和供应链责任；</w:t>
      </w:r>
    </w:p>
    <w:p>
      <w:pPr>
        <w:pStyle w:val="ListBullet"/>
      </w:pPr>
      <w:r>
        <w:t>申办方药物警戒参考安全性信息和预期不良反应表；</w:t>
      </w:r>
    </w:p>
    <w:p>
      <w:pPr>
        <w:pStyle w:val="ListBullet"/>
      </w:pPr>
      <w:r>
        <w:t>妊娠、哺乳和生殖风险管理的最终方案；</w:t>
      </w:r>
    </w:p>
    <w:p>
      <w:pPr>
        <w:pStyle w:val="ListBullet"/>
      </w:pPr>
      <w:r>
        <w:t>与非糖尿病PAD人群相关的剂量暴露或PK桥接需求。</w:t>
      </w:r>
    </w:p>
    <w:p>
      <w:pPr>
        <w:pStyle w:val="Heading1"/>
      </w:pPr>
      <w:r>
        <w:t>参考来源</w:t>
      </w:r>
    </w:p>
    <w:p>
      <w:r>
        <w:t>R01. DailyMed metformin ER prescribing information. https://dailymed.nlm.nih.gov/dailymed/lookup.cfm?setid=d09a2eda-fdd8-44ed-8e2f-ea91ddfd3c68&amp;version=13</w:t>
      </w:r>
    </w:p>
    <w:p>
      <w:r>
        <w:t>S08. Metformin and endothelial function in type 1 diabetes. https://pubmed.ncbi.nlm.nih.gov/23167274/</w:t>
      </w:r>
    </w:p>
    <w:p>
      <w:r>
        <w:t>S09. Metformin and endothelial markers in type 2 diabetes. https://pubmed.ncbi.nlm.nih.gov/15606381/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