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NMPA/FDA注册逻辑与临床运营约束</w:t>
      </w:r>
    </w:p>
    <w:p>
      <w:pPr>
        <w:jc w:val="center"/>
      </w:pPr>
      <w:r>
        <w:t>AI可见：阶段1；现行监管车道截至2026-07-18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双时间轴：</w:t>
            </w:r>
            <w:r>
              <w:rPr>
                <w:sz w:val="20"/>
              </w:rPr>
              <w:t>本文件允许使用截止日后的通用法规和标准，但不包含真实参考项目的方案或结果。</w:t>
            </w:r>
          </w:p>
        </w:tc>
      </w:tr>
    </w:tbl>
    <w:p/>
    <w:p>
      <w:pPr>
        <w:pStyle w:val="Heading1"/>
      </w:pPr>
      <w:r>
        <w:t>一、美国注册逻辑</w:t>
      </w:r>
    </w:p>
    <w:p>
      <w:pPr>
        <w:pStyle w:val="ListBullet"/>
      </w:pPr>
      <w:r>
        <w:t>本项目意图生成支持新适应证标签的良好对照研究，因此不满足“研究不用于支持新适应证/显著标签变更”的IND豁免条件。方案应按需要IND监管的开发研究设计。</w:t>
      </w:r>
    </w:p>
    <w:p>
      <w:pPr>
        <w:pStyle w:val="ListBullet"/>
      </w:pPr>
      <w:r>
        <w:t>若申办方不是原NDA持有人且需依赖非自有研究或FDA既有结论，后续上市申请可能采用505(b)(2)路径；最终路径需结合产品权利、参照药、专利/独占和所需桥接资料确认。</w:t>
      </w:r>
    </w:p>
    <w:p>
      <w:pPr>
        <w:pStyle w:val="ListBullet"/>
      </w:pPr>
      <w:r>
        <w:t>IND提交需包含临床方案和既往人体经验；Phase 2/3方案应详细描述目标、设计、人群、操作、实验室、安全监测、终点验证和偏离预案。</w:t>
      </w:r>
    </w:p>
    <w:p>
      <w:pPr>
        <w:pStyle w:val="ListBullet"/>
      </w:pPr>
      <w:r>
        <w:t>应提出与FDA沟通的问题：主要终点及临床意义、剂量、患者选择、背景运动治疗、估量目标、长期随访、标签主张和505(b)(2)桥接。</w:t>
      </w:r>
    </w:p>
    <w:p>
      <w:pPr>
        <w:pStyle w:val="Heading1"/>
      </w:pPr>
      <w:r>
        <w:t>二、中国注册逻辑</w:t>
      </w:r>
    </w:p>
    <w:p>
      <w:pPr>
        <w:pStyle w:val="ListBullet"/>
      </w:pPr>
      <w:r>
        <w:t>含已知活性成分的新适应证属于化学药品2.4类改良型新药；增加适应证并需临床试验时应提出新的药物临床试验申请。</w:t>
      </w:r>
    </w:p>
    <w:p>
      <w:pPr>
        <w:pStyle w:val="ListBullet"/>
      </w:pPr>
      <w:r>
        <w:t>CTA以临床价值为导向，需提交药学、药理毒理和临床支持资料；法定审评时限为60日，逾期未通知视为同意。</w:t>
      </w:r>
    </w:p>
    <w:p>
      <w:pPr>
        <w:pStyle w:val="ListBullet"/>
      </w:pPr>
      <w:r>
        <w:t>境外数据可用于支持注册，但来源、研究机构、质量体系和适用性需符合ICH与中国要求；应规划中国人群、中心和区域一致性评价。</w:t>
      </w:r>
    </w:p>
    <w:p>
      <w:pPr>
        <w:pStyle w:val="ListBullet"/>
      </w:pPr>
      <w:r>
        <w:t>中国申报资料应使用中文并附原文；化药CTA可采用CTD/eCTD。临床试验应在备案机构开展并符合GCP、伦理和登记公示要求。</w:t>
      </w:r>
    </w:p>
    <w:p>
      <w:pPr>
        <w:pStyle w:val="ListBullet"/>
      </w:pPr>
      <w:r>
        <w:t>应提出与CDE沟通的问题：全球方案可接受性、中国样本量/代表性、6MWT标准化、临床价值阈值、剂量外推、境外药学资料和中国上市路径。</w:t>
      </w:r>
    </w:p>
    <w:p>
      <w:pPr>
        <w:pStyle w:val="Heading1"/>
      </w:pPr>
      <w:r>
        <w:t>三、全球核心方案与区域附录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3969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全球统一</w:t>
            </w:r>
          </w:p>
        </w:tc>
        <w:tc>
          <w:tcPr>
            <w:tcW w:type="dxa" w:w="4535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可能区域差异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目标/估量目标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统一主要临床问题和主要分析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中国人群一致性/区域交互的解释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诊断与人群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统一PAD和IC定义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中国诊疗路径、ABI设备和语言量表验证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统一活性成分、剂量和盲法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美国/中国批次、标签、进口、放行和仓储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安全性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统一肾功能、造影、手术和急性缺氧规则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本地实验室、紧急医疗和SUSAR报告路径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SoA/终点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统一主要时间点和测试SOP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节假日、远程随访、中心空间和翻译适配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申报文件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统一核心Protocol和SAP</w:t>
            </w:r>
          </w:p>
        </w:tc>
        <w:tc>
          <w:tcPr>
            <w:tcW w:type="dxa" w:w="45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中文资料、地区附件和本地注册表</w:t>
            </w:r>
          </w:p>
        </w:tc>
      </w:tr>
    </w:tbl>
    <w:p/>
    <w:p>
      <w:pPr>
        <w:pStyle w:val="Heading1"/>
      </w:pPr>
      <w:r>
        <w:t>四、临床运营合成约束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969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约束/风险</w:t>
            </w:r>
          </w:p>
        </w:tc>
        <w:tc>
          <w:tcPr>
            <w:tcW w:type="dxa" w:w="5102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方案需体现的控制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招募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目标人群同时要求PAD、症状、无糖尿病、可步行和稳定治疗；历史试验曾因招募失败终止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中心筛选漏斗、预筛、ABI确认、竞争试验和备选中心触发条件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6MWT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部分中心仅有20–25 m走廊；工作人员经验不一致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建议30 m走廊标准；中心认证、视频/文件培训、重复测试和中央质控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运动治疗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当地常规运动处方差异大；高强度运动本身可改善6MWD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统一书面建议、记录实际运动、限制新增监督运动项目或预设处理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标准治疗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他汀、抗血小板、戒烟和血压控制不均一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基线稳定期、标准治疗清单、偏离记录和敏感性分析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造影/血运重建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PAD患者常需含碘造影和血运重建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暂停用药流程、事件分类、继续随访和估量目标策略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IMP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匹配安慰剂和过度包封需跨区供应；冷链不需要但温湿度追踪需要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批次策略、IWRS、药房资质、回收与依从性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胃肠不耐受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可能导致降阶、短停或永久停药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递增期、电话随访、对症管理、盲态保护和停药后继续评估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高龄合并症</w:t>
            </w:r>
          </w:p>
        </w:tc>
        <w:tc>
          <w:tcPr>
            <w:tcW w:type="dxa" w:w="3969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心肺/神经/肌骨疾病影响步行和安全</w:t>
            </w:r>
          </w:p>
        </w:tc>
        <w:tc>
          <w:tcPr>
            <w:tcW w:type="dxa" w:w="5102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明确非PAD步行限制、心血管稳定性和急救能力</w:t>
            </w:r>
          </w:p>
        </w:tc>
      </w:tr>
    </w:tbl>
    <w:p/>
    <w:p>
      <w:pPr>
        <w:pStyle w:val="Heading1"/>
      </w:pPr>
      <w:r>
        <w:t>五、数据与质量要求</w:t>
      </w:r>
    </w:p>
    <w:p>
      <w:pPr>
        <w:pStyle w:val="ListBullet"/>
      </w:pPr>
      <w:r>
        <w:t>主要终点源数据应可验证，包括走廊长度、开始/结束时间、圈数、中断原因、症状和助行器。</w:t>
      </w:r>
    </w:p>
    <w:p>
      <w:pPr>
        <w:pStyle w:val="ListBullet"/>
      </w:pPr>
      <w:r>
        <w:t>风险比例质量管理应聚焦知情同意、资格、随机化、IMP、6MWT、肾功能、造影/手术、SAE和主要终点缺失。</w:t>
      </w:r>
    </w:p>
    <w:p>
      <w:pPr>
        <w:pStyle w:val="ListBullet"/>
      </w:pPr>
      <w:r>
        <w:t>Protocol、SoA、CRF、SAP和注册记录中的时间点、分析人群和干预规则应建立依赖关系并执行单元测试。</w:t>
      </w:r>
    </w:p>
    <w:p>
      <w:pPr>
        <w:pStyle w:val="ListBullet"/>
      </w:pPr>
      <w:r>
        <w:t>截至2026年7月18日，2020版中国药物GCP仍在适用；2026修订版已发布，并将于2026年9月1日生效。实施计划应在中心启动前完成差距评估、SOP培训和版本切换。</w:t>
      </w:r>
    </w:p>
    <w:p>
      <w:pPr>
        <w:pStyle w:val="Heading1"/>
      </w:pPr>
      <w:r>
        <w:t>六、参考来源</w:t>
      </w:r>
    </w:p>
    <w:p>
      <w:r>
        <w:t>R02. FDA IND exemption criteria for marketed drugs. https://www.fda.gov/drugs/investigational-new-drug-ind-application/ind-application-procedures-exemptions-ind-requirements</w:t>
      </w:r>
    </w:p>
    <w:p>
      <w:r>
        <w:t>R03. FDA IND clinical protocol expectations. https://www.fda.gov/drugs/investigational-new-drug-ind-application/ind-applications-clinical-investigations-clinical-protocols</w:t>
      </w:r>
    </w:p>
    <w:p>
      <w:r>
        <w:t>R04. FDA 505(b)(2) pathway guidance. https://www.fda.gov/regulatory-information/search-fda-guidance-documents/determining-whether-submit-anda-or-505b2-application</w:t>
      </w:r>
    </w:p>
    <w:p>
      <w:r>
        <w:t>R05. NMPA 药品注册管理办法. https://www.cde.org.cn/main/policy/view/2f5d01af26ead0e3b149d99ad8022d8d</w:t>
      </w:r>
    </w:p>
    <w:p>
      <w:r>
        <w:t>R06. NMPA 化学药品注册分类及申报资料要求. https://english.nmpa.gov.cn/2020-06/30/c_528659.htm</w:t>
      </w:r>
    </w:p>
    <w:p>
      <w:r>
        <w:t>R07. CDE 药物临床试验方案提交与审评工作规范. https://www.cde.org.cn/main/policy/regulatview/3d3af6560621eeb4ce3ab73140721c5f</w:t>
      </w:r>
    </w:p>
    <w:p>
      <w:r>
        <w:t>R08. NMPA 药物临床试验审批办事指南. https://zwfw.nmpa.gov.cn/web/taskview/11100000MB0341032Y100017210200001</w:t>
      </w:r>
    </w:p>
    <w:p>
      <w:r>
        <w:t>R09. NMPA 药物临床试验机构备案. https://zwfw.nmpa.gov.cn/web/taskview/11100000MB0341032Y100207203900101</w:t>
      </w:r>
    </w:p>
    <w:p>
      <w:r>
        <w:t>R10. ICH Efficacy Guidelines index (E6/E8/E9/E10). https://admin.ich.org/node/603</w:t>
      </w:r>
    </w:p>
    <w:p>
      <w:r>
        <w:t>R11. ICH M11 CeSHarP. https://admin.ich.org/page/multidisciplinary-guidelines</w:t>
      </w:r>
    </w:p>
    <w:p>
      <w:r>
        <w:t>NMPA 2026 GCP过渡信息：https://english.nmpa.gov.cn/2026-06/12/c_1190202.htm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