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临床试验方案结构模板</w:t>
      </w:r>
    </w:p>
    <w:p>
      <w:pPr>
        <w:jc w:val="center"/>
      </w:pPr>
      <w:r>
        <w:rPr>
          <w:b/>
          <w:color w:val="2F75B5"/>
          <w:sz w:val="22"/>
        </w:rPr>
        <w:t>AI可见：阶段1；结构参考，不含设计答案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使用方式：</w:t>
            </w:r>
            <w:r>
              <w:rPr>
                <w:sz w:val="20"/>
              </w:rPr>
              <w:t>请在每个关键设计事实后用[Source ID]、[ASSUMPTION]或[TBD]标记依据状态。删除模板提示语后形成正式候选稿。</w:t>
            </w:r>
          </w:p>
        </w:tc>
      </w:tr>
    </w:tbl>
    <w:p/>
    <w:p>
      <w:pPr>
        <w:pStyle w:val="Heading1"/>
      </w:pPr>
      <w:r>
        <w:t>1. 方案标识与版本控制</w:t>
      </w:r>
    </w:p>
    <w:p>
      <w:r>
        <w:rPr>
          <w:b/>
          <w:color w:val="2F75B5"/>
        </w:rPr>
        <w:t>模板提示：</w:t>
      </w:r>
      <w:r>
        <w:t>方案标题、编号、版本、日期、申办方、地区、试验阶段、注册编号占位</w:t>
      </w:r>
    </w:p>
    <w:p>
      <w:r>
        <w:rPr>
          <w:b/>
          <w:color w:val="2F75B5"/>
        </w:rPr>
        <w:t>模板提示：</w:t>
      </w:r>
      <w:r>
        <w:t>修订历史表和批准签名页</w:t>
      </w:r>
    </w:p>
    <w:p>
      <w:pPr>
        <w:pStyle w:val="Heading1"/>
      </w:pPr>
      <w:r>
        <w:t>2. 方案摘要与Synopsis</w:t>
      </w:r>
    </w:p>
    <w:p>
      <w:r>
        <w:rPr>
          <w:b/>
          <w:color w:val="2F75B5"/>
        </w:rPr>
        <w:t>模板提示：</w:t>
      </w:r>
      <w:r>
        <w:t>科学问题、试验设计、受试者、干预、主要/次要终点、样本量、治疗和随访时间</w:t>
      </w:r>
    </w:p>
    <w:p>
      <w:r>
        <w:rPr>
          <w:b/>
          <w:color w:val="2F75B5"/>
        </w:rPr>
        <w:t>模板提示：</w:t>
      </w:r>
      <w:r>
        <w:t>说明FDA/NMPA开发定位</w:t>
      </w:r>
    </w:p>
    <w:p>
      <w:pPr>
        <w:pStyle w:val="Heading1"/>
      </w:pPr>
      <w:r>
        <w:t>3. Schedule of Activities</w:t>
      </w:r>
    </w:p>
    <w:p>
      <w:r>
        <w:rPr>
          <w:b/>
          <w:color w:val="2F75B5"/>
        </w:rPr>
        <w:t>模板提示：</w:t>
      </w:r>
      <w:r>
        <w:t>筛选、基线、随机化、递增、安全访视、主要终点评估、停药和随访</w:t>
      </w:r>
    </w:p>
    <w:p>
      <w:r>
        <w:rPr>
          <w:b/>
          <w:color w:val="2F75B5"/>
        </w:rPr>
        <w:t>模板提示：</w:t>
      </w:r>
      <w:r>
        <w:t>每项评估须与正文和CRF字段一致</w:t>
      </w:r>
    </w:p>
    <w:p>
      <w:pPr>
        <w:pStyle w:val="Heading1"/>
      </w:pPr>
      <w:r>
        <w:t>4. 背景与研究依据</w:t>
      </w:r>
    </w:p>
    <w:p>
      <w:r>
        <w:rPr>
          <w:b/>
          <w:color w:val="2F75B5"/>
        </w:rPr>
        <w:t>模板提示：</w:t>
      </w:r>
      <w:r>
        <w:t>疾病负担、标准治疗和未满足需求</w:t>
      </w:r>
    </w:p>
    <w:p>
      <w:r>
        <w:rPr>
          <w:b/>
          <w:color w:val="2F75B5"/>
        </w:rPr>
        <w:t>模板提示：</w:t>
      </w:r>
      <w:r>
        <w:t>药物已批准用途、机制、已知风险、直接/间接临床证据</w:t>
      </w:r>
    </w:p>
    <w:p>
      <w:r>
        <w:rPr>
          <w:b/>
          <w:color w:val="2F75B5"/>
        </w:rPr>
        <w:t>模板提示：</w:t>
      </w:r>
      <w:r>
        <w:t>既往同类试验与招募失败经验</w:t>
      </w:r>
    </w:p>
    <w:p>
      <w:pPr>
        <w:pStyle w:val="Heading1"/>
      </w:pPr>
      <w:r>
        <w:t>5. 获益-风险评估</w:t>
      </w:r>
    </w:p>
    <w:p>
      <w:r>
        <w:rPr>
          <w:b/>
          <w:color w:val="2F75B5"/>
        </w:rPr>
        <w:t>模板提示：</w:t>
      </w:r>
      <w:r>
        <w:t>预期获益仅作为假设</w:t>
      </w:r>
    </w:p>
    <w:p>
      <w:r>
        <w:rPr>
          <w:b/>
          <w:color w:val="2F75B5"/>
        </w:rPr>
        <w:t>模板提示：</w:t>
      </w:r>
      <w:r>
        <w:t>已知/潜在风险、风险最小化措施、风险接受性</w:t>
      </w:r>
    </w:p>
    <w:p>
      <w:pPr>
        <w:pStyle w:val="Heading1"/>
      </w:pPr>
      <w:r>
        <w:t>6. 目标、终点与估量目标</w:t>
      </w:r>
    </w:p>
    <w:p>
      <w:r>
        <w:rPr>
          <w:b/>
          <w:color w:val="2F75B5"/>
        </w:rPr>
        <w:t>模板提示：</w:t>
      </w:r>
      <w:r>
        <w:t>主要/次要/探索性目标与终点</w:t>
      </w:r>
    </w:p>
    <w:p>
      <w:r>
        <w:rPr>
          <w:b/>
          <w:color w:val="2F75B5"/>
        </w:rPr>
        <w:t>模板提示：</w:t>
      </w:r>
      <w:r>
        <w:t>主要估量目标：人群、处理、变量、群体汇总和并发事件策略</w:t>
      </w:r>
    </w:p>
    <w:p>
      <w:r>
        <w:rPr>
          <w:b/>
          <w:color w:val="2F75B5"/>
        </w:rPr>
        <w:t>模板提示：</w:t>
      </w:r>
      <w:r>
        <w:t>临床意义阈值和多重性</w:t>
      </w:r>
    </w:p>
    <w:p>
      <w:pPr>
        <w:pStyle w:val="Heading1"/>
      </w:pPr>
      <w:r>
        <w:t>7. 总体设计</w:t>
      </w:r>
    </w:p>
    <w:p>
      <w:r>
        <w:rPr>
          <w:b/>
          <w:color w:val="2F75B5"/>
        </w:rPr>
        <w:t>模板提示：</w:t>
      </w:r>
      <w:r>
        <w:t>阶段、中心、地区、随机、盲法、平行组、对照、治疗期和随访</w:t>
      </w:r>
    </w:p>
    <w:p>
      <w:r>
        <w:rPr>
          <w:b/>
          <w:color w:val="2F75B5"/>
        </w:rPr>
        <w:t>模板提示：</w:t>
      </w:r>
      <w:r>
        <w:t>设计图和研究停止规则</w:t>
      </w:r>
    </w:p>
    <w:p>
      <w:pPr>
        <w:pStyle w:val="Heading1"/>
      </w:pPr>
      <w:r>
        <w:t>8. 研究人群</w:t>
      </w:r>
    </w:p>
    <w:p>
      <w:r>
        <w:rPr>
          <w:b/>
          <w:color w:val="2F75B5"/>
        </w:rPr>
        <w:t>模板提示：</w:t>
      </w:r>
      <w:r>
        <w:t>诊断标准、症状表型、入选/排除标准、生活方式和标准治疗稳定期</w:t>
      </w:r>
    </w:p>
    <w:p>
      <w:r>
        <w:rPr>
          <w:b/>
          <w:color w:val="2F75B5"/>
        </w:rPr>
        <w:t>模板提示：</w:t>
      </w:r>
      <w:r>
        <w:t>筛选失败、重新筛选和特殊人群</w:t>
      </w:r>
    </w:p>
    <w:p>
      <w:pPr>
        <w:pStyle w:val="Heading1"/>
      </w:pPr>
      <w:r>
        <w:t>9. 干预与研究药物</w:t>
      </w:r>
    </w:p>
    <w:p>
      <w:r>
        <w:rPr>
          <w:b/>
          <w:color w:val="2F75B5"/>
        </w:rPr>
        <w:t>模板提示：</w:t>
      </w:r>
      <w:r>
        <w:t>剂量、递增、给药、依从性、降阶、短暂停药和永久停药</w:t>
      </w:r>
    </w:p>
    <w:p>
      <w:r>
        <w:rPr>
          <w:b/>
          <w:color w:val="2F75B5"/>
        </w:rPr>
        <w:t>模板提示：</w:t>
      </w:r>
      <w:r>
        <w:t>造影剂、手术、急性疾病和漏服处理</w:t>
      </w:r>
    </w:p>
    <w:p>
      <w:r>
        <w:rPr>
          <w:b/>
          <w:color w:val="2F75B5"/>
        </w:rPr>
        <w:t>模板提示：</w:t>
      </w:r>
      <w:r>
        <w:t>安慰剂、包装、标签、IWRS、储存和回收</w:t>
      </w:r>
    </w:p>
    <w:p>
      <w:pPr>
        <w:pStyle w:val="Heading1"/>
      </w:pPr>
      <w:r>
        <w:t>10. 随机化与盲法</w:t>
      </w:r>
    </w:p>
    <w:p>
      <w:r>
        <w:rPr>
          <w:b/>
          <w:color w:val="2F75B5"/>
        </w:rPr>
        <w:t>模板提示：</w:t>
      </w:r>
      <w:r>
        <w:t>分层、区组、随机系统、紧急揭盲、盲态评估和药物不良反应导致的功能性破盲</w:t>
      </w:r>
    </w:p>
    <w:p>
      <w:pPr>
        <w:pStyle w:val="Heading1"/>
      </w:pPr>
      <w:r>
        <w:t>11. 合并治疗与共同干预</w:t>
      </w:r>
    </w:p>
    <w:p>
      <w:r>
        <w:rPr>
          <w:b/>
          <w:color w:val="2F75B5"/>
        </w:rPr>
        <w:t>模板提示：</w:t>
      </w:r>
      <w:r>
        <w:t>PAD标准治疗、运动建议、禁止/限制药物、血运重建和康复项目</w:t>
      </w:r>
    </w:p>
    <w:p>
      <w:pPr>
        <w:pStyle w:val="Heading1"/>
      </w:pPr>
      <w:r>
        <w:t>12. 疗效评价</w:t>
      </w:r>
    </w:p>
    <w:p>
      <w:r>
        <w:rPr>
          <w:b/>
          <w:color w:val="2F75B5"/>
        </w:rPr>
        <w:t>模板提示：</w:t>
      </w:r>
      <w:r>
        <w:t>6MWT或其他主要终点SOP、认证、设备、重复测量、失败和中断规则</w:t>
      </w:r>
    </w:p>
    <w:p>
      <w:r>
        <w:rPr>
          <w:b/>
          <w:color w:val="2F75B5"/>
        </w:rPr>
        <w:t>模板提示：</w:t>
      </w:r>
      <w:r>
        <w:t>PRO、平板、ABI和探索性标志物</w:t>
      </w:r>
    </w:p>
    <w:p>
      <w:pPr>
        <w:pStyle w:val="Heading1"/>
      </w:pPr>
      <w:r>
        <w:t>13. 安全性评价</w:t>
      </w:r>
    </w:p>
    <w:p>
      <w:r>
        <w:rPr>
          <w:b/>
          <w:color w:val="2F75B5"/>
        </w:rPr>
        <w:t>模板提示：</w:t>
      </w:r>
      <w:r>
        <w:t>AE/SAE、实验室、eGFR、乳酸性酸中毒风险、低血糖样症状、B12、妊娠</w:t>
      </w:r>
    </w:p>
    <w:p>
      <w:r>
        <w:rPr>
          <w:b/>
          <w:color w:val="2F75B5"/>
        </w:rPr>
        <w:t>模板提示：</w:t>
      </w:r>
      <w:r>
        <w:t>造影、手术、缺氧、肝病和饮酒风险</w:t>
      </w:r>
    </w:p>
    <w:p>
      <w:r>
        <w:rPr>
          <w:b/>
          <w:color w:val="2F75B5"/>
        </w:rPr>
        <w:t>模板提示：</w:t>
      </w:r>
      <w:r>
        <w:t>DMC/安全审查和暂停规则</w:t>
      </w:r>
    </w:p>
    <w:p>
      <w:pPr>
        <w:pStyle w:val="Heading1"/>
      </w:pPr>
      <w:r>
        <w:t>14. 受试者停药、退出与继续随访</w:t>
      </w:r>
    </w:p>
    <w:p>
      <w:r>
        <w:rPr>
          <w:b/>
          <w:color w:val="2F75B5"/>
        </w:rPr>
        <w:t>模板提示：</w:t>
      </w:r>
      <w:r>
        <w:t>研究药停用与研究退出分离</w:t>
      </w:r>
    </w:p>
    <w:p>
      <w:r>
        <w:rPr>
          <w:b/>
          <w:color w:val="2F75B5"/>
        </w:rPr>
        <w:t>模板提示：</w:t>
      </w:r>
      <w:r>
        <w:t>失访预防和重要结局追踪</w:t>
      </w:r>
    </w:p>
    <w:p>
      <w:pPr>
        <w:pStyle w:val="Heading1"/>
      </w:pPr>
      <w:r>
        <w:t>15. 统计学</w:t>
      </w:r>
    </w:p>
    <w:p>
      <w:r>
        <w:rPr>
          <w:b/>
          <w:color w:val="2F75B5"/>
        </w:rPr>
        <w:t>模板提示：</w:t>
      </w:r>
      <w:r>
        <w:t>假设、样本量、随机化、分析集、主要模型、协变量、地区效应</w:t>
      </w:r>
    </w:p>
    <w:p>
      <w:r>
        <w:rPr>
          <w:b/>
          <w:color w:val="2F75B5"/>
        </w:rPr>
        <w:t>模板提示：</w:t>
      </w:r>
      <w:r>
        <w:t>并发事件、缺失数据、多重插补/敏感性分析、多重性、亚组、期中分析</w:t>
      </w:r>
    </w:p>
    <w:p>
      <w:pPr>
        <w:pStyle w:val="Heading1"/>
      </w:pPr>
      <w:r>
        <w:t>16. 数据管理与计算机化系统</w:t>
      </w:r>
    </w:p>
    <w:p>
      <w:r>
        <w:rPr>
          <w:b/>
          <w:color w:val="2F75B5"/>
        </w:rPr>
        <w:t>模板提示：</w:t>
      </w:r>
      <w:r>
        <w:t>CRF、源数据、数据流、编码、查询、盲态、数据库锁定和审计追踪</w:t>
      </w:r>
    </w:p>
    <w:p>
      <w:pPr>
        <w:pStyle w:val="Heading1"/>
      </w:pPr>
      <w:r>
        <w:t>17. 质量管理与监查</w:t>
      </w:r>
    </w:p>
    <w:p>
      <w:r>
        <w:rPr>
          <w:b/>
          <w:color w:val="2F75B5"/>
        </w:rPr>
        <w:t>模板提示：</w:t>
      </w:r>
      <w:r>
        <w:t>关键质量因素、风险评估、中央/现场监查、终点中央质控、偏差和CAPA</w:t>
      </w:r>
    </w:p>
    <w:p>
      <w:pPr>
        <w:pStyle w:val="Heading1"/>
      </w:pPr>
      <w:r>
        <w:t>18. 伦理与受试者保护</w:t>
      </w:r>
    </w:p>
    <w:p>
      <w:r>
        <w:rPr>
          <w:b/>
          <w:color w:val="2F75B5"/>
        </w:rPr>
        <w:t>模板提示：</w:t>
      </w:r>
      <w:r>
        <w:t>知情同意、隐私、补偿、保险、弱势人群和区域法规</w:t>
      </w:r>
    </w:p>
    <w:p>
      <w:pPr>
        <w:pStyle w:val="Heading1"/>
      </w:pPr>
      <w:r>
        <w:t>19. 注册、发表与数据共享</w:t>
      </w:r>
    </w:p>
    <w:p>
      <w:r>
        <w:rPr>
          <w:b/>
          <w:color w:val="2F75B5"/>
        </w:rPr>
        <w:t>模板提示：</w:t>
      </w:r>
      <w:r>
        <w:t>ClinicalTrials.gov、中国药物临床试验登记、公示和结果披露</w:t>
      </w:r>
    </w:p>
    <w:p>
      <w:pPr>
        <w:pStyle w:val="Heading1"/>
      </w:pPr>
      <w:r>
        <w:t>20. 参考文献与附录</w:t>
      </w:r>
    </w:p>
    <w:p>
      <w:r>
        <w:rPr>
          <w:b/>
          <w:color w:val="2F75B5"/>
        </w:rPr>
        <w:t>模板提示：</w:t>
      </w:r>
      <w:r>
        <w:t>完整参考文献、SoA、6MWT SOP、肾功能/造影管理算法、随机化示意、区域附录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仅用于公开资料与合成案例原型测试；不得用于实际临床决策或申报。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TrialCompiler 生成型方案测试包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1F1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