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申办方阶段2决策记录</w:t>
      </w:r>
    </w:p>
    <w:p>
      <w:pPr>
        <w:jc w:val="center"/>
      </w:pPr>
      <w:r>
        <w:rPr>
          <w:b/>
          <w:color w:val="2F75B5"/>
          <w:sz w:val="22"/>
        </w:rPr>
        <w:t>AI可见：阶段2；SYNTHETIC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作用：</w:t>
            </w:r>
            <w:r>
              <w:rPr>
                <w:sz w:val="20"/>
              </w:rPr>
              <w:t>以下为阶段1后由跨职能团队确认的项目事实。AI应据此修订，不得继续保留冲突旧值。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Decision ID</w:t>
            </w:r>
          </w:p>
        </w:tc>
        <w:tc>
          <w:tcPr>
            <w:tcW w:type="dxa" w:w="5102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已确认决策</w:t>
            </w:r>
          </w:p>
        </w:tc>
        <w:tc>
          <w:tcPr>
            <w:tcW w:type="dxa" w:w="4535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理由/影响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D-001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采用全球多中心、随机、双盲、匹配安慰剂、平行组设计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用于形成注册支持性临床功能证据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D-002</w:t>
            </w:r>
          </w:p>
        </w:tc>
        <w:tc>
          <w:tcPr>
            <w:tcW w:type="dxa" w:w="5102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主要治疗期24周；停药后继续随访至52周</w:t>
            </w:r>
          </w:p>
        </w:tc>
        <w:tc>
          <w:tcPr>
            <w:tcW w:type="dxa" w:w="453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兼顾功能终点和安全/维持性观察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D-003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Metformin ER目标剂量1000 mg/day；前2周500 mg/day递增；允许降至500 mg/day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降低高龄PAD人群胃肠不耐受和停药；剂量仍需在方案中论证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D-004</w:t>
            </w:r>
          </w:p>
        </w:tc>
        <w:tc>
          <w:tcPr>
            <w:tcW w:type="dxa" w:w="5102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主要终点为基线至第24周6MWD变化</w:t>
            </w:r>
          </w:p>
        </w:tc>
        <w:tc>
          <w:tcPr>
            <w:tcW w:type="dxa" w:w="453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采用标准化30 m走廊；中心须认证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D-005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随机总例数上限220；中国目标不少于80例，美国目标不少于100例，其余为机动配额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兼顾地区代表性和招募风险；最终样本量需统计复核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D-006</w:t>
            </w:r>
          </w:p>
        </w:tc>
        <w:tc>
          <w:tcPr>
            <w:tcW w:type="dxa" w:w="5102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随机分层：地区、基线6MWD类别；吸烟作为预设协变量</w:t>
            </w:r>
          </w:p>
        </w:tc>
        <w:tc>
          <w:tcPr>
            <w:tcW w:type="dxa" w:w="453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避免过多分层层级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D-007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eGFR入组阈值≥45 mL/min/1.73m²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比标签禁忌阈值更保守，适应高龄PAD和造影需求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D-008</w:t>
            </w:r>
          </w:p>
        </w:tc>
        <w:tc>
          <w:tcPr>
            <w:tcW w:type="dxa" w:w="5102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不要求所有受试者参加监督运动；提供统一书面步行建议并记录新增运动项目</w:t>
            </w:r>
          </w:p>
        </w:tc>
        <w:tc>
          <w:tcPr>
            <w:tcW w:type="dxa" w:w="453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减少中心资源差异，同时控制共同干预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D-009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无计划期中疗效分析；独立DMC定期审阅非盲安全数据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避免小样本早停偏倚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D-010</w:t>
            </w:r>
          </w:p>
        </w:tc>
        <w:tc>
          <w:tcPr>
            <w:tcW w:type="dxa" w:w="5102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最终候选Protocol需同时输出FDA与NMPA区域附录和数据缺口清单</w:t>
            </w:r>
          </w:p>
        </w:tc>
        <w:tc>
          <w:tcPr>
            <w:tcW w:type="dxa" w:w="453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支持后续沟通和CTA/IND准备</w:t>
            </w:r>
          </w:p>
        </w:tc>
      </w:tr>
    </w:tbl>
    <w:p/>
    <w:p>
      <w:pPr>
        <w:pStyle w:val="Heading1"/>
      </w:pPr>
      <w:r>
        <w:t>修订要求</w:t>
      </w:r>
    </w:p>
    <w:p>
      <w:pPr>
        <w:pStyle w:val="ListBullet"/>
      </w:pPr>
      <w:r>
        <w:t>更新所有章节、SoA、样本量、SAP概要和CRF字段，不允许旧值残留；</w:t>
      </w:r>
    </w:p>
    <w:p>
      <w:pPr>
        <w:pStyle w:val="ListBullet"/>
      </w:pPr>
      <w:r>
        <w:t>对D-005样本量上限进行可行性检查，如统计把握度不足，应明确风险和替代方案；</w:t>
      </w:r>
    </w:p>
    <w:p>
      <w:pPr>
        <w:pStyle w:val="ListBullet"/>
      </w:pPr>
      <w:r>
        <w:t>将D-003剂量降阶纳入主要估量目标和依从性分析；</w:t>
      </w:r>
    </w:p>
    <w:p>
      <w:pPr>
        <w:pStyle w:val="ListBullet"/>
      </w:pPr>
      <w:r>
        <w:t>生成前后版本差异摘要和重新测试清单。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仅用于公开资料与合成案例原型测试；不得用于实际临床决策或申报。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TrialCompiler 生成型方案测试包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