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隐藏金标准与参考设计</w:t>
      </w:r>
    </w:p>
    <w:p>
      <w:pPr>
        <w:jc w:val="center"/>
      </w:pPr>
      <w:r>
        <w:rPr>
          <w:b/>
          <w:color w:val="9C0006"/>
          <w:sz w:val="22"/>
        </w:rPr>
        <w:t>评估者专用；禁止输入生成模型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重要：</w:t>
            </w:r>
            <w:r>
              <w:rPr>
                <w:sz w:val="20"/>
              </w:rPr>
              <w:t>真实方案不是唯一正确答案。评分应关注科学合理性、可执行性、来源与内部一致性；文本相似度只用于泄漏审查。</w:t>
            </w:r>
          </w:p>
        </w:tc>
      </w:tr>
    </w:tbl>
    <w:p/>
    <w:p>
      <w:pPr>
        <w:pStyle w:val="Heading1"/>
      </w:pPr>
      <w:r>
        <w:t>一、隐藏参考项目：MOBILE 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835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设计维度</w:t>
            </w:r>
          </w:p>
        </w:tc>
        <w:tc>
          <w:tcPr>
            <w:tcW w:type="dxa" w:w="7937"/>
            <w:vAlign w:val="center"/>
            <w:shd w:fill="2F75B5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公开真实参考设计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注册号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NCT05132439；首次提交2021-11-12，首次公开2021-11-24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人群</w:t>
            </w:r>
          </w:p>
        </w:tc>
        <w:tc>
          <w:tcPr>
            <w:tcW w:type="dxa" w:w="7937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无糖尿病、伴间歇性跛行的PAD患者；Veterans为主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设计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随机、安慰剂对照、盲法平行组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样本量</w:t>
            </w:r>
          </w:p>
        </w:tc>
        <w:tc>
          <w:tcPr>
            <w:tcW w:type="dxa" w:w="7937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计划200例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干预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Metformin ER 1000 mg/day vs placebo，治疗180天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主要终点</w:t>
            </w:r>
          </w:p>
        </w:tc>
        <w:tc>
          <w:tcPr>
            <w:tcW w:type="dxa" w:w="7937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6个月6分钟步行最大距离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随访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主要研究随访12个月；另有长期病历审查</w:t>
            </w:r>
          </w:p>
        </w:tc>
      </w:tr>
      <w:tr>
        <w:tc>
          <w:tcPr>
            <w:tcW w:type="dxa" w:w="2835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随机分层</w:t>
            </w:r>
          </w:p>
        </w:tc>
        <w:tc>
          <w:tcPr>
            <w:tcW w:type="dxa" w:w="7937"/>
            <w:vAlign w:val="center"/>
            <w:shd w:fill="F2F2F2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基线6MWD和吸烟状态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关键安全</w:t>
            </w:r>
          </w:p>
        </w:tc>
        <w:tc>
          <w:tcPr>
            <w:tcW w:type="dxa" w:w="7937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eGFR &lt;45排除；造影、肝病、妊娠等风险管理</w:t>
            </w:r>
          </w:p>
        </w:tc>
      </w:tr>
    </w:tbl>
    <w:p/>
    <w:p>
      <w:r>
        <w:t>来源：H01 NCT05132439；H02 PMC9862509。</w:t>
      </w:r>
    </w:p>
    <w:p>
      <w:pPr>
        <w:pStyle w:val="Heading1"/>
      </w:pPr>
      <w:r>
        <w:t>二、相邻真实项目：PERMET</w:t>
      </w:r>
    </w:p>
    <w:p>
      <w:r>
        <w:t>PERMET在截止日前已公开为随机、安慰剂、6个月、6MWT主要终点、metformin最高2000 mg/day的PAD试验。2026年最终结果可作为后见验证：它不能用于历史生成，但可以检查AI是否对机制证据和预期效应过度乐观。</w:t>
      </w:r>
    </w:p>
    <w:p>
      <w:pPr>
        <w:pStyle w:val="Heading1"/>
      </w:pPr>
      <w:r>
        <w:t>三、与真实参考一致时的解释</w:t>
      </w:r>
    </w:p>
    <w:p>
      <w:pPr>
        <w:pStyle w:val="ListBullet"/>
      </w:pPr>
      <w:r>
        <w:t>6MWD、24周/6个月、安慰剂、1000–2000 mg/day、eGFR≥45等均可由可见资料合理推导，不自动视为泄漏。</w:t>
      </w:r>
    </w:p>
    <w:p>
      <w:pPr>
        <w:pStyle w:val="ListBullet"/>
      </w:pPr>
      <w:r>
        <w:t>只有出现隐藏标识符、独有措辞或高度特异的组合且无可见依据时，才提高泄漏风险评级。</w:t>
      </w:r>
    </w:p>
    <w:p>
      <w:pPr>
        <w:pStyle w:val="Heading1"/>
      </w:pPr>
      <w:r>
        <w:t>四、可接受的不同设计</w:t>
      </w:r>
    </w:p>
    <w:p>
      <w:pPr>
        <w:pStyle w:val="ListBullet"/>
      </w:pPr>
      <w:r>
        <w:t>以平板最大步行时间作为主要终点，但必须说明与6MWT相比的注册、操作和患者相关性；</w:t>
      </w:r>
    </w:p>
    <w:p>
      <w:pPr>
        <w:pStyle w:val="ListBullet"/>
      </w:pPr>
      <w:r>
        <w:t>选择2000 mg/day，但必须有耐受性、递增、肾功能和依从性控制；</w:t>
      </w:r>
    </w:p>
    <w:p>
      <w:pPr>
        <w:pStyle w:val="ListBullet"/>
      </w:pPr>
      <w:r>
        <w:t>使用更广泛症状性PAD人群，但必须避免非PAD步行限制并处理异质性；</w:t>
      </w:r>
    </w:p>
    <w:p>
      <w:pPr>
        <w:pStyle w:val="ListBullet"/>
      </w:pPr>
      <w:r>
        <w:t>选择Phase 2b而非Phase 3，只要开发定位、样本量和标签主张一致；</w:t>
      </w:r>
    </w:p>
    <w:p>
      <w:pPr>
        <w:pStyle w:val="ListBullet"/>
      </w:pPr>
      <w:r>
        <w:t>采用更长或更短主要时间点，只要有药理、既往试验和运营依据。</w:t>
      </w:r>
    </w:p>
    <w:p>
      <w:pPr>
        <w:pStyle w:val="Heading1"/>
      </w:pPr>
      <w:r>
        <w:t>五、关键评价问题</w:t>
      </w:r>
    </w:p>
    <w:p>
      <w:pPr>
        <w:pStyle w:val="ListBullet"/>
      </w:pPr>
      <w:r>
        <w:t>AI是否识别到FDA IND豁免与商业标签开发之间的逻辑冲突；</w:t>
      </w:r>
    </w:p>
    <w:p>
      <w:pPr>
        <w:pStyle w:val="ListBullet"/>
      </w:pPr>
      <w:r>
        <w:t>AI是否正确识别NMPA 2.4类、新CTA和中国人群/中心要求；</w:t>
      </w:r>
    </w:p>
    <w:p>
      <w:pPr>
        <w:pStyle w:val="ListBullet"/>
      </w:pPr>
      <w:r>
        <w:t>AI是否将历史招募失败转化为筛选漏斗和运营缓解措施；</w:t>
      </w:r>
    </w:p>
    <w:p>
      <w:pPr>
        <w:pStyle w:val="ListBullet"/>
      </w:pPr>
      <w:r>
        <w:t>AI是否建立估量目标并处理停药、血运重建、死亡和无法步行；</w:t>
      </w:r>
    </w:p>
    <w:p>
      <w:pPr>
        <w:pStyle w:val="ListBullet"/>
      </w:pPr>
      <w:r>
        <w:t>AI是否在Protocol、SoA、SAP和CRF之间保持事实一致；</w:t>
      </w:r>
    </w:p>
    <w:p>
      <w:pPr>
        <w:pStyle w:val="ListBullet"/>
      </w:pPr>
      <w:r>
        <w:t>AI是否对未知CMC/PK/安全资料使用TBD，而非编造。</w:t>
      </w:r>
    </w:p>
    <w:p>
      <w:pPr>
        <w:pStyle w:val="Heading1"/>
      </w:pPr>
      <w:r>
        <w:t>六、FDA路径的隐藏对照</w:t>
      </w:r>
    </w:p>
    <w:p>
      <w:r>
        <w:rPr>
          <w:b/>
        </w:rPr>
        <w:t>真实 MOBILE IC 方案论文报告该学术研究满足 IND exemption。</w:t>
      </w:r>
      <w:r>
        <w:t xml:space="preserve"> 本测试中的合成申办方目标不同：拟形成支持新适应证标签扩展的注册证据。因此评估时应以任务书中的商业开发意图为准。AI若直接复制真实项目的豁免结论，应判为注册逻辑错误或潜在泄漏；AI若能明确区分学术研究与标签支持研究，则应给予正向评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