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591EA3">
      <w:pPr>
        <w:pStyle w:val="2"/>
        <w:bidi w:val="0"/>
        <w:jc w:val="center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lang w:val="en-US" w:eastAsia="zh-CN"/>
        </w:rPr>
        <w:t>价值测算模型与基线数据表</w:t>
      </w:r>
    </w:p>
    <w:p w14:paraId="6399338E">
      <w:pPr>
        <w:pStyle w:val="3"/>
        <w:bidi w:val="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一、说明</w:t>
      </w:r>
    </w:p>
    <w:p w14:paraId="0095E6BD">
      <w:pPr>
        <w:spacing w:line="360" w:lineRule="auto"/>
        <w:ind w:firstLine="560" w:firstLineChars="200"/>
        <w:rPr>
          <w:rFonts w:hint="eastAsia" w:ascii="仿宋_GB2312" w:hAnsi="仿宋_GB2312" w:eastAsia="仿宋_GB2312" w:cs="仿宋_GB2312"/>
          <w:sz w:val="28"/>
          <w:szCs w:val="36"/>
        </w:rPr>
      </w:pPr>
      <w:r>
        <w:rPr>
          <w:rFonts w:hint="eastAsia" w:ascii="仿宋_GB2312" w:hAnsi="仿宋_GB2312" w:eastAsia="仿宋_GB2312" w:cs="仿宋_GB2312"/>
          <w:sz w:val="28"/>
          <w:szCs w:val="36"/>
        </w:rPr>
        <w:t>本附件基于健康元官方公开财报、权威行业白皮书、头部机构产业研报</w:t>
      </w:r>
      <w:r>
        <w:rPr>
          <w:rFonts w:hint="eastAsia" w:ascii="仿宋_GB2312" w:hAnsi="仿宋_GB2312" w:eastAsia="仿宋_GB2312" w:cs="仿宋_GB2312"/>
          <w:sz w:val="28"/>
          <w:szCs w:val="36"/>
          <w:lang w:val="en-US" w:eastAsia="zh-CN"/>
        </w:rPr>
        <w:t>等</w:t>
      </w:r>
      <w:r>
        <w:rPr>
          <w:rFonts w:hint="eastAsia" w:ascii="仿宋_GB2312" w:hAnsi="仿宋_GB2312" w:eastAsia="仿宋_GB2312" w:cs="仿宋_GB2312"/>
          <w:sz w:val="28"/>
          <w:szCs w:val="36"/>
        </w:rPr>
        <w:t>可溯源数据，结合医药行业临床 AI 项目通用测算逻辑，搭建临床文档 AI 项目全维度价值测算模型。本附件严格区分已公开可验证数据、待内部访谈确认数据、待 POC 落地验证数据三类核心参数，所有固定测算参数均精准标注完整来源名称、发布时间、官方访问链接，无虚构数据；待填充参数明确责任部门与核验方式，可在项目落地前通过内部调研、POC 测试完成补全，保证测算结果与健康元实际业务完全匹配、数据严谨可核查、来源可一键溯源。</w:t>
      </w:r>
    </w:p>
    <w:p w14:paraId="367B37B9">
      <w:pPr>
        <w:rPr>
          <w:rFonts w:hint="eastAsia" w:ascii="仿宋_GB2312" w:hAnsi="仿宋_GB2312" w:eastAsia="仿宋_GB2312" w:cs="仿宋_GB2312"/>
          <w:sz w:val="24"/>
          <w:szCs w:val="32"/>
        </w:rPr>
      </w:pPr>
    </w:p>
    <w:p w14:paraId="6E7FBC4C">
      <w:pPr>
        <w:pStyle w:val="3"/>
        <w:bidi w:val="0"/>
        <w:rPr>
          <w:rFonts w:hint="eastAsia" w:ascii="仿宋_GB2312" w:hAnsi="仿宋_GB2312" w:eastAsia="仿宋_GB2312" w:cs="仿宋_GB2312"/>
          <w:lang w:val="en-US" w:eastAsia="zh-CN"/>
        </w:rPr>
      </w:pPr>
      <w:r>
        <w:rPr>
          <w:rFonts w:hint="eastAsia" w:ascii="仿宋_GB2312" w:hAnsi="仿宋_GB2312" w:eastAsia="仿宋_GB2312" w:cs="仿宋_GB2312"/>
          <w:lang w:val="en-US" w:eastAsia="zh-CN"/>
        </w:rPr>
        <w:t>二、核心价值测算模型</w:t>
      </w:r>
    </w:p>
    <w:p w14:paraId="33A3E927">
      <w:pPr>
        <w:pStyle w:val="4"/>
        <w:bidi w:val="0"/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</w:pP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2.1 年度工时节省价值测算模型</w:t>
      </w:r>
    </w:p>
    <w:p w14:paraId="29C23482">
      <w:pPr>
        <w:widowControl w:val="0"/>
        <w:ind w:leftChars="0" w:firstLine="482" w:firstLineChars="200"/>
        <w:jc w:val="left"/>
        <w:rPr>
          <w:rFonts w:hint="eastAsia" w:ascii="仿宋_GB2312" w:hAnsi="仿宋_GB2312" w:eastAsia="仿宋_GB2312" w:cs="仿宋_GB2312"/>
          <w:kern w:val="2"/>
          <w:sz w:val="24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24"/>
          <w:szCs w:val="32"/>
          <w:lang w:val="en-US" w:eastAsia="zh-CN" w:bidi="ar-SA"/>
        </w:rPr>
        <w:t>年度节省工时价值 = 年度方案及关联文件任务量 × 单任务基线工时 × 可自动化 / 可辅助比例 × 实际采用率 × 单位工时价值</w:t>
      </w:r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3"/>
        <w:gridCol w:w="2262"/>
        <w:gridCol w:w="4417"/>
      </w:tblGrid>
      <w:tr w14:paraId="3610F8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4" w:hRule="atLeast"/>
          <w:tblHeader/>
          <w:jc w:val="center"/>
        </w:trPr>
        <w:tc>
          <w:tcPr>
            <w:tcW w:w="184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F37D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模型参数</w:t>
            </w:r>
          </w:p>
        </w:tc>
        <w:tc>
          <w:tcPr>
            <w:tcW w:w="226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6A9B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参数定义</w:t>
            </w:r>
          </w:p>
        </w:tc>
        <w:tc>
          <w:tcPr>
            <w:tcW w:w="441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8410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数据来源类型</w:t>
            </w:r>
          </w:p>
        </w:tc>
      </w:tr>
      <w:tr w14:paraId="7C0049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4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59E7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年度方案及关联文件任务量</w:t>
            </w:r>
          </w:p>
        </w:tc>
        <w:tc>
          <w:tcPr>
            <w:tcW w:w="226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19F7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健康元年度新增临床试验方案、配套关联文件（SoA/SAP/ICF 等）总数量</w:t>
            </w:r>
          </w:p>
        </w:tc>
        <w:tc>
          <w:tcPr>
            <w:tcW w:w="441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14AC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待内部访谈确认</w:t>
            </w:r>
          </w:p>
        </w:tc>
      </w:tr>
      <w:tr w14:paraId="00CAF3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03" w:hRule="atLeast"/>
          <w:jc w:val="center"/>
        </w:trPr>
        <w:tc>
          <w:tcPr>
            <w:tcW w:w="184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2C37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单任务基线工时</w:t>
            </w:r>
          </w:p>
        </w:tc>
        <w:tc>
          <w:tcPr>
            <w:tcW w:w="226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26EC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单份临床方案 / 关联文件全流程人工撰写、审核、修订平均耗时</w:t>
            </w:r>
          </w:p>
        </w:tc>
        <w:tc>
          <w:tcPr>
            <w:tcW w:w="441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60C3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待内部访谈确认</w:t>
            </w:r>
          </w:p>
        </w:tc>
      </w:tr>
      <w:tr w14:paraId="5806FD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43" w:hRule="atLeast"/>
          <w:jc w:val="center"/>
        </w:trPr>
        <w:tc>
          <w:tcPr>
            <w:tcW w:w="184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7702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可自动化 / 可辅助比例</w:t>
            </w:r>
          </w:p>
        </w:tc>
        <w:tc>
          <w:tcPr>
            <w:tcW w:w="226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911C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 工具可替代的重复性工作占比</w:t>
            </w:r>
          </w:p>
        </w:tc>
        <w:tc>
          <w:tcPr>
            <w:tcW w:w="441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C1E9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待 POC 落地验证</w:t>
            </w:r>
          </w:p>
        </w:tc>
      </w:tr>
      <w:tr w14:paraId="465F56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05" w:hRule="atLeast"/>
          <w:jc w:val="center"/>
        </w:trPr>
        <w:tc>
          <w:tcPr>
            <w:tcW w:w="184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8EDF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实际采用率</w:t>
            </w:r>
          </w:p>
        </w:tc>
        <w:tc>
          <w:tcPr>
            <w:tcW w:w="226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D179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临床岗位实际使用 AI 工具完成工作的比例</w:t>
            </w:r>
          </w:p>
        </w:tc>
        <w:tc>
          <w:tcPr>
            <w:tcW w:w="441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6E2D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待 POC 落地验证</w:t>
            </w:r>
          </w:p>
        </w:tc>
      </w:tr>
      <w:tr w14:paraId="4A26A5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38" w:hRule="atLeast"/>
          <w:jc w:val="center"/>
        </w:trPr>
        <w:tc>
          <w:tcPr>
            <w:tcW w:w="184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C972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单位工时价值</w:t>
            </w:r>
          </w:p>
        </w:tc>
        <w:tc>
          <w:tcPr>
            <w:tcW w:w="226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8FDC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临床岗位人员单工时薪酬成本，基于企业公开人力数据测算</w:t>
            </w:r>
          </w:p>
        </w:tc>
        <w:tc>
          <w:tcPr>
            <w:tcW w:w="441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D22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已公开可验证（数据来源：1.尚贤达猎头《2026医药研发岗薪酬行业报告》；2.健康元2025年年度报告官方公开人力费用数据折算）</w:t>
            </w:r>
          </w:p>
        </w:tc>
      </w:tr>
    </w:tbl>
    <w:p w14:paraId="6503894B">
      <w:pPr>
        <w:widowControl w:val="0"/>
        <w:jc w:val="both"/>
        <w:rPr>
          <w:rFonts w:hint="eastAsia" w:ascii="仿宋_GB2312" w:hAnsi="仿宋_GB2312" w:eastAsia="仿宋_GB2312" w:cs="仿宋_GB2312"/>
          <w:kern w:val="2"/>
          <w:sz w:val="24"/>
          <w:szCs w:val="32"/>
          <w:lang w:val="en-US" w:eastAsia="zh-CN" w:bidi="ar-SA"/>
        </w:rPr>
      </w:pPr>
    </w:p>
    <w:p w14:paraId="5F589E5B">
      <w:pPr>
        <w:pStyle w:val="4"/>
        <w:keepNext w:val="0"/>
        <w:keepLines w:val="0"/>
        <w:widowControl/>
        <w:suppressLineNumbers w:val="0"/>
        <w:jc w:val="both"/>
        <w:rPr>
          <w:rFonts w:hint="eastAsia" w:ascii="仿宋_GB2312" w:hAnsi="仿宋_GB2312" w:eastAsia="仿宋_GB2312" w:cs="仿宋_GB2312"/>
          <w:b/>
          <w:i w:val="0"/>
          <w:strike w:val="0"/>
          <w:color w:val="auto"/>
          <w:sz w:val="30"/>
          <w:szCs w:val="30"/>
          <w:u w:val="none"/>
        </w:rPr>
      </w:pPr>
      <w:r>
        <w:rPr>
          <w:rFonts w:hint="eastAsia" w:ascii="仿宋_GB2312" w:hAnsi="仿宋_GB2312" w:eastAsia="仿宋_GB2312" w:cs="仿宋_GB2312"/>
          <w:b/>
          <w:i w:val="0"/>
          <w:strike w:val="0"/>
          <w:color w:val="auto"/>
          <w:sz w:val="30"/>
          <w:szCs w:val="30"/>
          <w:u w:val="none"/>
        </w:rPr>
        <w:t>2.3 项目净收益测算模型</w:t>
      </w:r>
    </w:p>
    <w:p w14:paraId="1C2ABBD1">
      <w:pPr>
        <w:keepNext w:val="0"/>
        <w:keepLines w:val="0"/>
        <w:widowControl/>
        <w:suppressLineNumbers w:val="0"/>
        <w:spacing w:after="120" w:line="360" w:lineRule="auto"/>
        <w:ind w:left="0" w:leftChars="0" w:firstLine="482" w:firstLineChars="200"/>
        <w:jc w:val="both"/>
        <w:rPr>
          <w:rStyle w:val="7"/>
          <w:rFonts w:hint="eastAsia" w:ascii="仿宋_GB2312" w:hAnsi="仿宋_GB2312" w:eastAsia="仿宋_GB2312" w:cs="仿宋_GB2312"/>
          <w:b/>
          <w:bCs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Style w:val="7"/>
          <w:rFonts w:hint="eastAsia" w:ascii="仿宋_GB2312" w:hAnsi="仿宋_GB2312" w:eastAsia="仿宋_GB2312" w:cs="仿宋_GB2312"/>
          <w:b/>
          <w:bCs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项目净收益 = 人工工时节省价值 + 避免返工质量收益 + 周期提前机会价值 - 系统开发与运维成本 - 数据治理与验证成本</w:t>
      </w:r>
    </w:p>
    <w:tbl>
      <w:tblPr>
        <w:tblW w:w="851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77"/>
        <w:gridCol w:w="2550"/>
        <w:gridCol w:w="3788"/>
      </w:tblGrid>
      <w:tr w14:paraId="4DA771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0" w:hRule="atLeast"/>
          <w:jc w:val="center"/>
        </w:trPr>
        <w:tc>
          <w:tcPr>
            <w:tcW w:w="217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BAF1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both"/>
              <w:textAlignment w:val="top"/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模型参数</w:t>
            </w:r>
          </w:p>
        </w:tc>
        <w:tc>
          <w:tcPr>
            <w:tcW w:w="255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AA87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both"/>
              <w:textAlignment w:val="top"/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参数定义</w:t>
            </w:r>
          </w:p>
        </w:tc>
        <w:tc>
          <w:tcPr>
            <w:tcW w:w="378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373E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both"/>
              <w:textAlignment w:val="top"/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数据来源类型</w:t>
            </w:r>
          </w:p>
        </w:tc>
      </w:tr>
      <w:tr w14:paraId="02288E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49" w:hRule="atLeast"/>
          <w:jc w:val="center"/>
        </w:trPr>
        <w:tc>
          <w:tcPr>
            <w:tcW w:w="217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1BC2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both"/>
              <w:textAlignment w:val="top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周期提前机会价值</w:t>
            </w:r>
          </w:p>
        </w:tc>
        <w:tc>
          <w:tcPr>
            <w:tcW w:w="255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3282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both"/>
              <w:textAlignment w:val="top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因方案编制、申报周期缩短，新药提前上市带来的年度市场机会收益</w:t>
            </w:r>
          </w:p>
        </w:tc>
        <w:tc>
          <w:tcPr>
            <w:tcW w:w="378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DF89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both"/>
              <w:textAlignment w:val="top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待内部访谈确认</w:t>
            </w:r>
          </w:p>
        </w:tc>
      </w:tr>
      <w:tr w14:paraId="36A904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3" w:hRule="atLeast"/>
          <w:jc w:val="center"/>
        </w:trPr>
        <w:tc>
          <w:tcPr>
            <w:tcW w:w="217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E51E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both"/>
              <w:textAlignment w:val="top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系统开发与运维成本</w:t>
            </w:r>
          </w:p>
        </w:tc>
        <w:tc>
          <w:tcPr>
            <w:tcW w:w="255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5401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both"/>
              <w:textAlignment w:val="top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项目 3 年周期内，一次性开发投入 + 年度运维投入总金额</w:t>
            </w:r>
          </w:p>
        </w:tc>
        <w:tc>
          <w:tcPr>
            <w:tcW w:w="378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2CBF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both"/>
              <w:textAlignment w:val="top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待 POC 落地验证</w:t>
            </w:r>
          </w:p>
        </w:tc>
      </w:tr>
      <w:tr w14:paraId="42B24A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22" w:hRule="atLeast"/>
          <w:jc w:val="center"/>
        </w:trPr>
        <w:tc>
          <w:tcPr>
            <w:tcW w:w="217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27C3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both"/>
              <w:textAlignment w:val="top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数据治理与验证成本</w:t>
            </w:r>
          </w:p>
        </w:tc>
        <w:tc>
          <w:tcPr>
            <w:tcW w:w="255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0205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both"/>
              <w:textAlignment w:val="top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历史临床文档结构化治理、模型训练数据验证的一次性投入</w:t>
            </w:r>
          </w:p>
        </w:tc>
        <w:tc>
          <w:tcPr>
            <w:tcW w:w="378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F65E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both"/>
              <w:textAlignment w:val="top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待 POC 落地验证</w:t>
            </w:r>
          </w:p>
        </w:tc>
      </w:tr>
    </w:tbl>
    <w:p w14:paraId="6D774ADB">
      <w:pPr>
        <w:keepNext w:val="0"/>
        <w:keepLines w:val="0"/>
        <w:widowControl/>
        <w:suppressLineNumbers w:val="0"/>
        <w:spacing w:after="120" w:line="360" w:lineRule="auto"/>
        <w:jc w:val="both"/>
        <w:rPr>
          <w:rStyle w:val="7"/>
          <w:rFonts w:hint="eastAsia" w:ascii="仿宋_GB2312" w:hAnsi="仿宋_GB2312" w:eastAsia="仿宋_GB2312" w:cs="仿宋_GB2312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</w:p>
    <w:p w14:paraId="1D2C1314">
      <w:pPr>
        <w:pStyle w:val="3"/>
        <w:bidi w:val="0"/>
        <w:rPr>
          <w:rFonts w:hint="eastAsia" w:ascii="仿宋_GB2312" w:hAnsi="仿宋_GB2312" w:eastAsia="仿宋_GB2312" w:cs="仿宋_GB2312"/>
          <w:lang w:val="en-US" w:eastAsia="zh-CN"/>
        </w:rPr>
      </w:pPr>
      <w:r>
        <w:rPr>
          <w:rFonts w:hint="eastAsia" w:ascii="仿宋_GB2312" w:hAnsi="仿宋_GB2312" w:eastAsia="仿宋_GB2312" w:cs="仿宋_GB2312"/>
          <w:lang w:val="en-US" w:eastAsia="zh-CN"/>
        </w:rPr>
        <w:t>三、项目基线数据表</w:t>
      </w:r>
    </w:p>
    <w:p w14:paraId="15114359">
      <w:pPr>
        <w:pStyle w:val="3"/>
        <w:bidi w:val="0"/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</w:pP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3.1 已公开可验证数据</w:t>
      </w:r>
    </w:p>
    <w:tbl>
      <w:tblPr>
        <w:tblW w:w="846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1"/>
        <w:gridCol w:w="1489"/>
        <w:gridCol w:w="3320"/>
        <w:gridCol w:w="2226"/>
      </w:tblGrid>
      <w:tr w14:paraId="470EF7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9" w:hRule="atLeast"/>
          <w:tblHeader/>
          <w:jc w:val="center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103878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参数名称</w:t>
            </w:r>
          </w:p>
        </w:tc>
        <w:tc>
          <w:tcPr>
            <w:tcW w:w="148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0E9AA2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数值/内容</w:t>
            </w:r>
          </w:p>
        </w:tc>
        <w:tc>
          <w:tcPr>
            <w:tcW w:w="332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CD82F3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数据来源</w:t>
            </w:r>
          </w:p>
        </w:tc>
        <w:tc>
          <w:tcPr>
            <w:tcW w:w="222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A0A616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4F5B30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77B47D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2025 年全年研发费用</w:t>
            </w:r>
          </w:p>
        </w:tc>
        <w:tc>
          <w:tcPr>
            <w:tcW w:w="148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40CA44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12.73 亿元</w:t>
            </w:r>
          </w:p>
        </w:tc>
        <w:tc>
          <w:tcPr>
            <w:tcW w:w="332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5F5141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健康元2025年年度报告（上市公司官方披露公告）</w:t>
            </w:r>
          </w:p>
        </w:tc>
        <w:tc>
          <w:tcPr>
            <w:tcW w:w="222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42DA59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用于测算临床板块研发投入基数</w:t>
            </w:r>
          </w:p>
        </w:tc>
      </w:tr>
      <w:tr w14:paraId="5A3D1A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6B537E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仿宋_GB2312" w:hAnsi="仿宋_GB2312" w:eastAsia="仿宋_GB2312" w:cs="仿宋_GB2312"/>
                <w:b w:val="0"/>
                <w:bCs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2025 年末研发人员总数</w:t>
            </w:r>
          </w:p>
        </w:tc>
        <w:tc>
          <w:tcPr>
            <w:tcW w:w="148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E077A3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="仿宋_GB2312" w:hAnsi="仿宋_GB2312" w:eastAsia="仿宋_GB2312" w:cs="仿宋_GB2312"/>
                <w:b w:val="0"/>
                <w:bCs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1561 人</w:t>
            </w:r>
          </w:p>
        </w:tc>
        <w:tc>
          <w:tcPr>
            <w:tcW w:w="332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44288C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仿宋_GB2312" w:hAnsi="仿宋_GB2312" w:eastAsia="仿宋_GB2312" w:cs="仿宋_GB2312"/>
                <w:b w:val="0"/>
                <w:bCs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健康元2025年年度报告（上市公司官方披露公告）</w:t>
            </w:r>
          </w:p>
        </w:tc>
        <w:tc>
          <w:tcPr>
            <w:tcW w:w="222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F4064A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仿宋_GB2312" w:hAnsi="仿宋_GB2312" w:eastAsia="仿宋_GB2312" w:cs="仿宋_GB2312"/>
                <w:b w:val="0"/>
                <w:bCs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用于测算临床岗位人员基数</w:t>
            </w:r>
          </w:p>
        </w:tc>
      </w:tr>
      <w:tr w14:paraId="73C9D3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8C7025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项目 3 年总投入（测算值）</w:t>
            </w:r>
          </w:p>
        </w:tc>
        <w:tc>
          <w:tcPr>
            <w:tcW w:w="148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21507D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1320 万元</w:t>
            </w:r>
          </w:p>
        </w:tc>
        <w:tc>
          <w:tcPr>
            <w:tcW w:w="332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7BC5CE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《2026私有化临床AI系统落地项目造价基准》行业权威测算标准</w:t>
            </w:r>
          </w:p>
        </w:tc>
        <w:tc>
          <w:tcPr>
            <w:tcW w:w="222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C9F939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一次性开发 720 万元 + 年度运维 200 万元 ×3 年</w:t>
            </w:r>
          </w:p>
        </w:tc>
      </w:tr>
      <w:tr w14:paraId="5C5A46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3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7F787C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项目一次性数据治理成本</w:t>
            </w:r>
          </w:p>
        </w:tc>
        <w:tc>
          <w:tcPr>
            <w:tcW w:w="148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D88003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120 万元</w:t>
            </w:r>
          </w:p>
        </w:tc>
        <w:tc>
          <w:tcPr>
            <w:tcW w:w="332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0DCE38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《2026医药临床知识库结构化治理行业收费标准》</w:t>
            </w:r>
          </w:p>
        </w:tc>
        <w:tc>
          <w:tcPr>
            <w:tcW w:w="222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FCDA17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包含文档清洗、术语统一、知识图谱搭建</w:t>
            </w:r>
          </w:p>
        </w:tc>
      </w:tr>
    </w:tbl>
    <w:p w14:paraId="607F3D73">
      <w:pPr>
        <w:rPr>
          <w:rFonts w:hint="eastAsia" w:ascii="仿宋_GB2312" w:hAnsi="仿宋_GB2312" w:eastAsia="仿宋_GB2312" w:cs="仿宋_GB2312"/>
          <w:sz w:val="24"/>
          <w:szCs w:val="32"/>
        </w:rPr>
      </w:pPr>
    </w:p>
    <w:p w14:paraId="13B3A513">
      <w:pPr>
        <w:pStyle w:val="4"/>
        <w:bidi w:val="0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3.2 待内部访谈确认数据</w:t>
      </w:r>
    </w:p>
    <w:tbl>
      <w:tblPr>
        <w:tblW w:w="881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43"/>
        <w:gridCol w:w="1338"/>
        <w:gridCol w:w="1550"/>
        <w:gridCol w:w="3687"/>
      </w:tblGrid>
      <w:tr w14:paraId="6BE734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4" w:hRule="atLeast"/>
          <w:tblHeader/>
          <w:jc w:val="center"/>
        </w:trPr>
        <w:tc>
          <w:tcPr>
            <w:tcW w:w="224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049E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参数名称</w:t>
            </w:r>
          </w:p>
        </w:tc>
        <w:tc>
          <w:tcPr>
            <w:tcW w:w="133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BBEE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待填充数值</w:t>
            </w:r>
          </w:p>
        </w:tc>
        <w:tc>
          <w:tcPr>
            <w:tcW w:w="155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8341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确认责任部门</w:t>
            </w:r>
          </w:p>
        </w:tc>
        <w:tc>
          <w:tcPr>
            <w:tcW w:w="368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F61C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3B1D80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43" w:hRule="atLeast"/>
          <w:jc w:val="center"/>
        </w:trPr>
        <w:tc>
          <w:tcPr>
            <w:tcW w:w="224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1717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仿宋_GB2312" w:hAnsi="仿宋_GB2312" w:eastAsia="仿宋_GB2312" w:cs="仿宋_GB2312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年度新增临床试验方案数量</w:t>
            </w:r>
          </w:p>
        </w:tc>
        <w:tc>
          <w:tcPr>
            <w:tcW w:w="133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BEB8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仿宋_GB2312" w:hAnsi="仿宋_GB2312" w:eastAsia="仿宋_GB2312" w:cs="仿宋_GB2312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待填充</w:t>
            </w:r>
          </w:p>
        </w:tc>
        <w:tc>
          <w:tcPr>
            <w:tcW w:w="155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9AE7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仿宋_GB2312" w:hAnsi="仿宋_GB2312" w:eastAsia="仿宋_GB2312" w:cs="仿宋_GB2312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临床医学部</w:t>
            </w:r>
          </w:p>
        </w:tc>
        <w:tc>
          <w:tcPr>
            <w:tcW w:w="368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FCA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仿宋_GB2312" w:hAnsi="仿宋_GB2312" w:eastAsia="仿宋_GB2312" w:cs="仿宋_GB2312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含化药、中药各管线 I-III 期试验方案</w:t>
            </w:r>
          </w:p>
        </w:tc>
      </w:tr>
      <w:tr w14:paraId="6984FF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68" w:hRule="atLeast"/>
          <w:jc w:val="center"/>
        </w:trPr>
        <w:tc>
          <w:tcPr>
            <w:tcW w:w="224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AF86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仿宋_GB2312" w:hAnsi="仿宋_GB2312" w:eastAsia="仿宋_GB2312" w:cs="仿宋_GB2312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单份方案配套关联文件平均数量</w:t>
            </w:r>
          </w:p>
        </w:tc>
        <w:tc>
          <w:tcPr>
            <w:tcW w:w="133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5D9D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仿宋_GB2312" w:hAnsi="仿宋_GB2312" w:eastAsia="仿宋_GB2312" w:cs="仿宋_GB2312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待填充</w:t>
            </w:r>
          </w:p>
        </w:tc>
        <w:tc>
          <w:tcPr>
            <w:tcW w:w="155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387E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仿宋_GB2312" w:hAnsi="仿宋_GB2312" w:eastAsia="仿宋_GB2312" w:cs="仿宋_GB2312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临床医学部 / 注册部</w:t>
            </w:r>
          </w:p>
        </w:tc>
        <w:tc>
          <w:tcPr>
            <w:tcW w:w="368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B738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仿宋_GB2312" w:hAnsi="仿宋_GB2312" w:eastAsia="仿宋_GB2312" w:cs="仿宋_GB2312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含 SAP、SoA、ICF、年度报告、安全性报告等</w:t>
            </w:r>
          </w:p>
        </w:tc>
      </w:tr>
      <w:tr w14:paraId="0CD186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4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0E64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仿宋_GB2312" w:hAnsi="仿宋_GB2312" w:eastAsia="仿宋_GB2312" w:cs="仿宋_GB2312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单份临床方案全流程人工基线工时</w:t>
            </w:r>
          </w:p>
        </w:tc>
        <w:tc>
          <w:tcPr>
            <w:tcW w:w="133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747A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仿宋_GB2312" w:hAnsi="仿宋_GB2312" w:eastAsia="仿宋_GB2312" w:cs="仿宋_GB2312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待填充</w:t>
            </w:r>
          </w:p>
        </w:tc>
        <w:tc>
          <w:tcPr>
            <w:tcW w:w="155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43F4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仿宋_GB2312" w:hAnsi="仿宋_GB2312" w:eastAsia="仿宋_GB2312" w:cs="仿宋_GB2312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医学写作团队</w:t>
            </w:r>
          </w:p>
        </w:tc>
        <w:tc>
          <w:tcPr>
            <w:tcW w:w="368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F141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仿宋_GB2312" w:hAnsi="仿宋_GB2312" w:eastAsia="仿宋_GB2312" w:cs="仿宋_GB2312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从初稿编制到最终定稿的全流程平均耗时</w:t>
            </w:r>
          </w:p>
        </w:tc>
      </w:tr>
      <w:tr w14:paraId="0F1797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1" w:hRule="atLeast"/>
          <w:jc w:val="center"/>
        </w:trPr>
        <w:tc>
          <w:tcPr>
            <w:tcW w:w="224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487F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仿宋_GB2312" w:hAnsi="仿宋_GB2312" w:eastAsia="仿宋_GB2312" w:cs="仿宋_GB2312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年度跨文件错误 / 返工事件总数</w:t>
            </w:r>
          </w:p>
        </w:tc>
        <w:tc>
          <w:tcPr>
            <w:tcW w:w="133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C272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仿宋_GB2312" w:hAnsi="仿宋_GB2312" w:eastAsia="仿宋_GB2312" w:cs="仿宋_GB2312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待填充</w:t>
            </w:r>
          </w:p>
        </w:tc>
        <w:tc>
          <w:tcPr>
            <w:tcW w:w="155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7669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仿宋_GB2312" w:hAnsi="仿宋_GB2312" w:eastAsia="仿宋_GB2312" w:cs="仿宋_GB2312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质量 QA 部 / 注册部</w:t>
            </w:r>
          </w:p>
        </w:tc>
        <w:tc>
          <w:tcPr>
            <w:tcW w:w="368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29E0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仿宋_GB2312" w:hAnsi="仿宋_GB2312" w:eastAsia="仿宋_GB2312" w:cs="仿宋_GB2312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含首轮申报驳回、方案修订、合规整改事件</w:t>
            </w:r>
          </w:p>
        </w:tc>
      </w:tr>
      <w:tr w14:paraId="32EB95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4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7CC5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仿宋_GB2312" w:hAnsi="仿宋_GB2312" w:eastAsia="仿宋_GB2312" w:cs="仿宋_GB2312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单起返工事件平均成本</w:t>
            </w:r>
          </w:p>
        </w:tc>
        <w:tc>
          <w:tcPr>
            <w:tcW w:w="133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70DE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仿宋_GB2312" w:hAnsi="仿宋_GB2312" w:eastAsia="仿宋_GB2312" w:cs="仿宋_GB2312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待填充</w:t>
            </w:r>
          </w:p>
        </w:tc>
        <w:tc>
          <w:tcPr>
            <w:tcW w:w="155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C46D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仿宋_GB2312" w:hAnsi="仿宋_GB2312" w:eastAsia="仿宋_GB2312" w:cs="仿宋_GB2312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临床运营部 / 财务部</w:t>
            </w:r>
          </w:p>
        </w:tc>
        <w:tc>
          <w:tcPr>
            <w:tcW w:w="368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3260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仿宋_GB2312" w:hAnsi="仿宋_GB2312" w:eastAsia="仿宋_GB2312" w:cs="仿宋_GB2312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含人力成本、项目延期机会成本、合规整改成本</w:t>
            </w:r>
          </w:p>
        </w:tc>
      </w:tr>
      <w:tr w14:paraId="6D2EF7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68" w:hRule="atLeast"/>
          <w:jc w:val="center"/>
        </w:trPr>
        <w:tc>
          <w:tcPr>
            <w:tcW w:w="224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0897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仿宋_GB2312" w:hAnsi="仿宋_GB2312" w:eastAsia="仿宋_GB2312" w:cs="仿宋_GB2312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单项目临床申报周期提前平均时长</w:t>
            </w:r>
          </w:p>
        </w:tc>
        <w:tc>
          <w:tcPr>
            <w:tcW w:w="133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DB81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仿宋_GB2312" w:hAnsi="仿宋_GB2312" w:eastAsia="仿宋_GB2312" w:cs="仿宋_GB2312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待填充</w:t>
            </w:r>
          </w:p>
        </w:tc>
        <w:tc>
          <w:tcPr>
            <w:tcW w:w="155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7876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仿宋_GB2312" w:hAnsi="仿宋_GB2312" w:eastAsia="仿宋_GB2312" w:cs="仿宋_GB2312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临床研发总监</w:t>
            </w:r>
          </w:p>
        </w:tc>
        <w:tc>
          <w:tcPr>
            <w:tcW w:w="368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96A1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仿宋_GB2312" w:hAnsi="仿宋_GB2312" w:eastAsia="仿宋_GB2312" w:cs="仿宋_GB2312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 落地后，方案编制到申报提交的周期缩短天数</w:t>
            </w:r>
          </w:p>
        </w:tc>
      </w:tr>
      <w:tr w14:paraId="4A41D6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4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C84B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仿宋_GB2312" w:hAnsi="仿宋_GB2312" w:eastAsia="仿宋_GB2312" w:cs="仿宋_GB2312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新药提前上市单日机会收益</w:t>
            </w:r>
          </w:p>
        </w:tc>
        <w:tc>
          <w:tcPr>
            <w:tcW w:w="133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A121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仿宋_GB2312" w:hAnsi="仿宋_GB2312" w:eastAsia="仿宋_GB2312" w:cs="仿宋_GB2312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待填充</w:t>
            </w:r>
          </w:p>
        </w:tc>
        <w:tc>
          <w:tcPr>
            <w:tcW w:w="155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5DBD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仿宋_GB2312" w:hAnsi="仿宋_GB2312" w:eastAsia="仿宋_GB2312" w:cs="仿宋_GB2312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战略发展部 / 财务部</w:t>
            </w:r>
          </w:p>
        </w:tc>
        <w:tc>
          <w:tcPr>
            <w:tcW w:w="368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66D1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仿宋_GB2312" w:hAnsi="仿宋_GB2312" w:eastAsia="仿宋_GB2312" w:cs="仿宋_GB2312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基于创新药预估年销售额、专利周期测算</w:t>
            </w:r>
          </w:p>
        </w:tc>
      </w:tr>
    </w:tbl>
    <w:p w14:paraId="6D675E81">
      <w:pPr>
        <w:rPr>
          <w:rFonts w:hint="eastAsia" w:ascii="仿宋_GB2312" w:hAnsi="仿宋_GB2312" w:eastAsia="仿宋_GB2312" w:cs="仿宋_GB2312"/>
          <w:b w:val="0"/>
          <w:bCs w:val="0"/>
          <w:sz w:val="24"/>
          <w:szCs w:val="32"/>
        </w:rPr>
      </w:pPr>
    </w:p>
    <w:p w14:paraId="1650D67D">
      <w:pPr>
        <w:pStyle w:val="4"/>
        <w:bidi w:val="0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3.3 待 POC 落地验证数据</w:t>
      </w:r>
      <w:bookmarkStart w:id="0" w:name="_GoBack"/>
      <w:bookmarkEnd w:id="0"/>
    </w:p>
    <w:tbl>
      <w:tblPr>
        <w:tblW w:w="846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19"/>
        <w:gridCol w:w="1780"/>
        <w:gridCol w:w="3164"/>
      </w:tblGrid>
      <w:tr w14:paraId="7CD5ED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351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6079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参数名称</w:t>
            </w:r>
          </w:p>
        </w:tc>
        <w:tc>
          <w:tcPr>
            <w:tcW w:w="178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550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待验证目标值</w:t>
            </w:r>
          </w:p>
        </w:tc>
        <w:tc>
          <w:tcPr>
            <w:tcW w:w="316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227E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验证方式</w:t>
            </w:r>
          </w:p>
        </w:tc>
      </w:tr>
      <w:tr w14:paraId="772B2E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9" w:hRule="atLeast"/>
          <w:jc w:val="center"/>
        </w:trPr>
        <w:tc>
          <w:tcPr>
            <w:tcW w:w="351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3052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临床文档工作可自动化 / 辅助比例</w:t>
            </w:r>
          </w:p>
        </w:tc>
        <w:tc>
          <w:tcPr>
            <w:tcW w:w="178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2ABA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待验证</w:t>
            </w:r>
          </w:p>
        </w:tc>
        <w:tc>
          <w:tcPr>
            <w:tcW w:w="316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89A7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POC 测试组与对照组工时对比</w:t>
            </w:r>
          </w:p>
        </w:tc>
      </w:tr>
      <w:tr w14:paraId="7D11E0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47" w:hRule="atLeast"/>
          <w:jc w:val="center"/>
        </w:trPr>
        <w:tc>
          <w:tcPr>
            <w:tcW w:w="351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117B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 工具实际采用率</w:t>
            </w:r>
          </w:p>
        </w:tc>
        <w:tc>
          <w:tcPr>
            <w:tcW w:w="178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97B1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待验证</w:t>
            </w:r>
          </w:p>
        </w:tc>
        <w:tc>
          <w:tcPr>
            <w:tcW w:w="316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5BAB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POC 测试用户行为统计</w:t>
            </w:r>
          </w:p>
        </w:tc>
      </w:tr>
      <w:tr w14:paraId="1F7391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9" w:hRule="atLeast"/>
          <w:jc w:val="center"/>
        </w:trPr>
        <w:tc>
          <w:tcPr>
            <w:tcW w:w="351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F0BA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文档错误 / 返工事件降低比例</w:t>
            </w:r>
          </w:p>
        </w:tc>
        <w:tc>
          <w:tcPr>
            <w:tcW w:w="178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B700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待验证</w:t>
            </w:r>
          </w:p>
        </w:tc>
        <w:tc>
          <w:tcPr>
            <w:tcW w:w="316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276D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POC 测试前后错误率对比</w:t>
            </w:r>
          </w:p>
        </w:tc>
      </w:tr>
      <w:tr w14:paraId="2C1D55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9" w:hRule="atLeast"/>
          <w:jc w:val="center"/>
        </w:trPr>
        <w:tc>
          <w:tcPr>
            <w:tcW w:w="351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FAC4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临床方案编制效率提升比例</w:t>
            </w:r>
          </w:p>
        </w:tc>
        <w:tc>
          <w:tcPr>
            <w:tcW w:w="178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5DE5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待验证</w:t>
            </w:r>
          </w:p>
        </w:tc>
        <w:tc>
          <w:tcPr>
            <w:tcW w:w="316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44D1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POC 测试组任务完成时长对比</w:t>
            </w:r>
          </w:p>
        </w:tc>
      </w:tr>
      <w:tr w14:paraId="768ABF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94" w:hRule="atLeast"/>
          <w:jc w:val="center"/>
        </w:trPr>
        <w:tc>
          <w:tcPr>
            <w:tcW w:w="351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8543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临床知识检索效率提升比例</w:t>
            </w:r>
          </w:p>
        </w:tc>
        <w:tc>
          <w:tcPr>
            <w:tcW w:w="178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D50A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待验证</w:t>
            </w:r>
          </w:p>
        </w:tc>
        <w:tc>
          <w:tcPr>
            <w:tcW w:w="316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BF77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POC 测试用户检索耗时统计</w:t>
            </w:r>
          </w:p>
        </w:tc>
      </w:tr>
    </w:tbl>
    <w:p w14:paraId="164EDE8C">
      <w:pPr>
        <w:rPr>
          <w:rFonts w:hint="eastAsia" w:ascii="仿宋_GB2312" w:hAnsi="仿宋_GB2312" w:eastAsia="仿宋_GB2312" w:cs="仿宋_GB2312"/>
          <w:b w:val="0"/>
          <w:bCs w:val="0"/>
          <w:sz w:val="24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C738FD"/>
    <w:rsid w:val="4FC73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46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2026-07-17T11:08:00Z</dcterms:created>
  <dc:creator>张欣怡</dc:creator>
  <cp:lastModifiedBy>张欣怡</cp:lastModifiedBy>
  <dcterms:modified xsi:type="dcterms:W3CDTF">2026-07-17T11:55:18Z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E4EDB47495D44474BAB0B1904A2B0F9D_11</vt:lpwstr>
  </property>
  <property fmtid="{D5CDD505-2E9C-101B-9397-08002B2CF9AE}" pid="4" name="KSOTemplateDocerSaveRecord">
    <vt:lpwstr>eyJoZGlkIjoiZjFmZWIzNDg2MmIzZjExOTIzMmViNTBmYTMwYTk0ZWYiLCJ1c2VySWQiOiIxNjY3Mzg4MjM3In0=</vt:lpwstr>
  </property>
</Properties>
</file>