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BBA6A">
      <w:pPr>
        <w:pStyle w:val="2"/>
        <w:bidi w:val="0"/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用户反馈与行业专家访谈综合分析</w:t>
      </w:r>
    </w:p>
    <w:p w14:paraId="585F831E">
      <w:pPr>
        <w:pStyle w:val="3"/>
        <w:bidi w:val="0"/>
        <w:spacing w:line="360" w:lineRule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一、说明</w:t>
      </w:r>
    </w:p>
    <w:p w14:paraId="27CB85FA">
      <w:pPr>
        <w:spacing w:line="360" w:lineRule="auto"/>
        <w:ind w:firstLine="420" w:firstLineChars="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本附件由两部分调研素材构成：一是小红书、抖音、快手、微博四大社交平台爬取的临床研究员真实工作语段，二是国内三甲医院、头部创新药企、数字化服务商、高校科研机构、跨国药企权威专家公开访谈原文。所有素材来源完整标注平台、发布时间、官方访问链接，内容聚焦临床人工文书、质控、归档、多项目协同等共性痛点，配套痛点词云分析依据，用于佐证 TrialCompiler 系统落地必要性与真实业务价值。</w:t>
      </w:r>
    </w:p>
    <w:p w14:paraId="1BF5478C">
      <w:pPr>
        <w:pStyle w:val="3"/>
        <w:bidi w:val="0"/>
        <w:spacing w:line="360" w:lineRule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二、数据素材基础信息</w:t>
      </w:r>
    </w:p>
    <w:p w14:paraId="2DD25774">
      <w:pPr>
        <w:pStyle w:val="4"/>
        <w:bidi w:val="0"/>
        <w:spacing w:line="360" w:lineRule="auto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（一）素材构成</w:t>
      </w:r>
    </w:p>
    <w:p w14:paraId="24D4BE33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社交媒体一线从业者语段：共 55 条，覆盖医学撰写、CRC、临床 PM、QA，发布时间 202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sz w:val="28"/>
          <w:szCs w:val="28"/>
        </w:rPr>
        <w:t>.0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sz w:val="28"/>
          <w:szCs w:val="28"/>
        </w:rPr>
        <w:t>-2026.06；</w:t>
      </w:r>
    </w:p>
    <w:p w14:paraId="0EF52EB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行业权威专家公开访谈：5 组权威专访，来源含新华网、同写意、太美医疗官网、北大临床研究院、国际医药行业媒体 Applied Clinical Trials，全部可溯源核验。</w:t>
      </w:r>
    </w:p>
    <w:p w14:paraId="5A16CF41">
      <w:pPr>
        <w:pStyle w:val="4"/>
        <w:bidi w:val="0"/>
        <w:spacing w:line="360" w:lineRule="auto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（二）分析用途</w:t>
      </w:r>
    </w:p>
    <w:p w14:paraId="3FF6E3A2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提取全部文本语段开展关键词云生成，直观展示行业共性痛点；</w:t>
      </w:r>
    </w:p>
    <w:p w14:paraId="22E310BF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区分一线从业者情绪反馈与行业专家专业研判，双向印证临床人工工作负荷高、重复事务挤占核心研发精力；</w:t>
      </w:r>
    </w:p>
    <w:p w14:paraId="097077D8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为 TrialCompiler 工时节约、减少返工、知识沉淀、合规前置校验四大价值测算提供真实业务支撑。</w:t>
      </w:r>
    </w:p>
    <w:p w14:paraId="38BB1FCA">
      <w:pPr>
        <w:pStyle w:val="3"/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三、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调研数据</w:t>
      </w:r>
    </w:p>
    <w:p w14:paraId="6626A628">
      <w:pPr>
        <w:numPr>
          <w:numId w:val="0"/>
        </w:numPr>
        <w:spacing w:line="360" w:lineRule="auto"/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详见调研数据表</w:t>
      </w:r>
    </w:p>
    <w:p w14:paraId="48426AD9">
      <w:pPr>
        <w:pStyle w:val="3"/>
        <w:numPr>
          <w:ilvl w:val="0"/>
          <w:numId w:val="0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四、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词云图及其分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析</w:t>
      </w:r>
    </w:p>
    <w:p w14:paraId="1E99C07D">
      <w:pPr>
        <w:numPr>
          <w:numId w:val="0"/>
        </w:numPr>
        <w:spacing w:line="360" w:lineRule="auto"/>
        <w:ind w:leftChars="0"/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drawing>
          <wp:inline distT="0" distB="0" distL="114300" distR="114300">
            <wp:extent cx="4859655" cy="4305935"/>
            <wp:effectExtent l="0" t="0" r="0" b="0"/>
            <wp:docPr id="1" name="图片 1" descr="word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ordcloud"/>
                    <pic:cNvPicPr>
                      <a:picLocks noChangeAspect="1"/>
                    </pic:cNvPicPr>
                  </pic:nvPicPr>
                  <pic:blipFill>
                    <a:blip r:embed="rId4"/>
                    <a:srcRect l="2850" r="1475" b="2263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88DF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图1.社交媒体爬取用户反馈词云图</w:t>
      </w:r>
    </w:p>
    <w:p w14:paraId="399C89A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drawing>
          <wp:inline distT="0" distB="0" distL="114300" distR="114300">
            <wp:extent cx="5142865" cy="4679950"/>
            <wp:effectExtent l="0" t="0" r="635" b="635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rcRect l="3349" r="434" b="4583"/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71E3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图2.专家访谈反馈词云图</w:t>
      </w:r>
    </w:p>
    <w:p w14:paraId="2BDC7E8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仿宋_GB2312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28"/>
          <w:szCs w:val="28"/>
          <w:lang w:val="en-US" w:eastAsia="zh-CN"/>
        </w:rPr>
        <w:t>词云分析核心结论</w:t>
      </w:r>
      <w:r>
        <w:rPr>
          <w:rFonts w:hint="eastAsia" w:ascii="Times New Roman" w:hAnsi="Times New Roman" w:eastAsia="仿宋_GB2312" w:cs="Times New Roman"/>
          <w:b/>
          <w:bCs/>
          <w:sz w:val="28"/>
          <w:szCs w:val="28"/>
          <w:lang w:val="en-US" w:eastAsia="zh-CN"/>
        </w:rPr>
        <w:t>：</w:t>
      </w:r>
    </w:p>
    <w:p w14:paraId="494668D1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0"/>
          <w:sz w:val="28"/>
          <w:szCs w:val="28"/>
          <w:lang w:val="en-US" w:eastAsia="zh-CN" w:bidi="ar"/>
        </w:rPr>
        <w:t>综合一线从业者真实反馈与行业权威专家研判，可明确临床研发核心共性痛点：临床试验配套的数百页方案、总结报告等核心文书，长期依赖人工逐字撰写、多轮反复人工审核校对，流程繁琐、耗时耗力、返工率高，极大消耗临床研究员核心工作精力。同时，项目试验设计、不良反应处置、合规核查、项目推进等优质研发经验知识，长期零散散落于离线文档、工作邮件、员工个人记忆中，无统一归集沉淀渠道，导致优质研发经验无法快速检索、高效复用，人员离职极易造成核心知识断层，反复出现重复性研发工作，严重拖累临床项目推进效率、抬高研发隐性成本，行业智能化升级刚需迫切。</w:t>
      </w:r>
    </w:p>
    <w:p w14:paraId="1329865A">
      <w:pPr>
        <w:pStyle w:val="3"/>
        <w:bidi w:val="0"/>
        <w:spacing w:line="360" w:lineRule="auto"/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五、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支撑项目价值论证</w:t>
      </w:r>
    </w:p>
    <w:p w14:paraId="38FA1F5D"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工时节约价值可落地：行业专家访谈与一线从业者反馈双向印证，临床数百页方案、CSR报告等核心文书，长期依赖人工逐字撰写、多轮反复审核、跨版本人工比对，重复性低效工作占用研发人员大量核心工时。TrialCompiler依托智能生成、自动校对、版本比对功能，可直接替代人工完成海量文书基础编制与核验工作，大幅削减无效工时消耗，为附件5工时节约收益测算提供真实、可落地的业务依据；</w:t>
      </w:r>
    </w:p>
    <w:p w14:paraId="19883E6A"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知识复用、降本增效价值闭环：当前行业普遍存在临床研发经验碎片化问题，试验设计思路、合规核查经验、项目优化技巧等核心知识散落于离线文档、工作邮件及员工个人记忆中，无法统一沉淀、快速复用，人员离职易造成知识断层，引发反复试错、重复研发等隐性损耗。TrialCompiler搭建企业专属私有临床知识库，可系统化归集、沉淀中西药双线临床研发经验，实现经验可检索、可复用、可迭代，从根源解决知识流失、资源浪费痛点，夯实项目长期降本增效价值；</w:t>
      </w:r>
    </w:p>
    <w:p w14:paraId="0B3E793D"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推广接受度预判合理：全行业临床人员普遍面临人工文书负荷重、工作效率低、知识无法复用的痛点，一线从业者与行业权威专家均高度认可临床数字化、智能化转型的减负赋能价值，因此具备落地可行性。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7AF48F"/>
    <w:multiLevelType w:val="singleLevel"/>
    <w:tmpl w:val="F57AF4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8B87A3B"/>
    <w:multiLevelType w:val="singleLevel"/>
    <w:tmpl w:val="28B87A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0F0D889"/>
    <w:multiLevelType w:val="singleLevel"/>
    <w:tmpl w:val="30F0D8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DA1F8B"/>
    <w:rsid w:val="72DA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2026-07-17T14:15:00Z</dcterms:created>
  <dc:creator>张欣怡</dc:creator>
  <cp:lastModifiedBy>张欣怡</cp:lastModifiedBy>
  <dcterms:modified xsi:type="dcterms:W3CDTF">2026-07-17T15:04:18Z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8FE3E144034D4202AB0C15DE5DCB3AC1_11</vt:lpwstr>
  </property>
  <property fmtid="{D5CDD505-2E9C-101B-9397-08002B2CF9AE}" pid="4" name="KSOTemplateDocerSaveRecord">
    <vt:lpwstr>eyJoZGlkIjoiZjFmZWIzNDg2MmIzZjExOTIzMmViNTBmYTMwYTk0ZWYiLCJ1c2VySWQiOiIxNjY3Mzg4MjM3In0=</vt:lpwstr>
  </property>
</Properties>
</file>