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04A6B">
      <w:pPr>
        <w:pStyle w:val="2"/>
        <w:bidi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临床试验AI行业深度分析报告</w:t>
      </w:r>
    </w:p>
    <w:p w14:paraId="36CF2B4C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0" w:name="heading_0"/>
      <w:r>
        <w:rPr>
          <w:rFonts w:hint="default" w:ascii="Times New Roman" w:hAnsi="Times New Roman" w:cs="Times New Roman"/>
          <w:lang w:val="en-US" w:eastAsia="zh-CN"/>
        </w:rPr>
        <w:t>一、报告说明</w:t>
      </w:r>
      <w:bookmarkEnd w:id="0"/>
    </w:p>
    <w:p w14:paraId="7F02EF6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本报告依托 Medidata 全球临床 AI 白皮书、国内 AI 制药全景产业报告、阿里云医药 Agent 标杆案例、医药魔方 / 丁香园行业数据库及健康元公开经营资料撰写，运用 PEST 宏观环境分析、SWOT 企业竞争分析两大模型，系统论证临床文档智能化赛道发展机遇、行业痛点、竞争格局，为健康元落地私有临床 AI 文档系统提供行业依据。</w:t>
      </w:r>
    </w:p>
    <w:p w14:paraId="0C493D20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" w:name="heading_1"/>
      <w:r>
        <w:rPr>
          <w:rFonts w:hint="default" w:ascii="Times New Roman" w:hAnsi="Times New Roman" w:cs="Times New Roman"/>
          <w:lang w:val="en-US" w:eastAsia="zh-CN"/>
        </w:rPr>
        <w:t>二、PEST 宏观环境分析</w:t>
      </w:r>
      <w:bookmarkEnd w:id="1"/>
    </w:p>
    <w:p w14:paraId="35F0FC84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" w:name="heading_2"/>
      <w:r>
        <w:rPr>
          <w:rFonts w:hint="default" w:ascii="Times New Roman" w:hAnsi="Times New Roman" w:cs="Times New Roman"/>
          <w:lang w:val="en-US" w:eastAsia="zh-CN"/>
        </w:rPr>
        <w:t>（一）政策环境（Policy）</w:t>
      </w:r>
      <w:bookmarkEnd w:id="2"/>
    </w:p>
    <w:p w14:paraId="363F8DD2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国内 NMPA 持续推动医药全链条数字化转型，明确认可 “AI 辅助撰写 + 医学人员终审” 模式用于临床方案、CSR、注册申报文件，完全符合 GCP 核查规范，TrialCompiler 落地无监管合规壁垒；</w:t>
      </w:r>
    </w:p>
    <w:p w14:paraId="7EC814F8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国家生物医药专项、新一代人工智能产业政策双重扶持，鼓励药企借助 AI 缩短创新药临床周期、压降研发人力投入，本项目契合国家级产业导向；</w:t>
      </w:r>
    </w:p>
    <w:p w14:paraId="5A947C2F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ICH 国内外申报标准逐步统一，临床试验方案、总结报告形成标准化撰写框架，为 TrialCompiler 搭建标准化生成、合规校验规则库提供统一基准；</w:t>
      </w:r>
    </w:p>
    <w:p w14:paraId="7DA4D3F6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核心约束条件：临床试验原始数据、历史涉密方案属于企业核心研发资产，公有 SaaS 工具存在数据泄露、数据出境风险，私有化本地部署的 TrialCompiler 是大中型药企合规落地最优方案。</w:t>
      </w:r>
    </w:p>
    <w:p w14:paraId="502260DB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3" w:name="heading_3"/>
      <w:r>
        <w:rPr>
          <w:rFonts w:hint="default" w:ascii="Times New Roman" w:hAnsi="Times New Roman" w:cs="Times New Roman"/>
          <w:lang w:val="en-US" w:eastAsia="zh-CN"/>
        </w:rPr>
        <w:t>（二）经济环境（Economy）</w:t>
      </w:r>
      <w:bookmarkEnd w:id="3"/>
    </w:p>
    <w:p w14:paraId="5B38FAAF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新药临床阶段占整体研发成本 40%-60%，一款新药临床周期平均 6-7 年，文档人工低效、流程拉长会带来每日高额延期隐性损失；</w:t>
      </w:r>
    </w:p>
    <w:p w14:paraId="416B067E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Medidata 全球调研数据显示 70% 落地临床 AI 的药企反馈项目收益达到或超出预期，临床文档自动化是全研发链路投入产出比最高的 AI 改造场景，TrialCompiler 精准切入该高价值赛道；</w:t>
      </w:r>
    </w:p>
    <w:p w14:paraId="4933657A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国内 AI 医学写作市场持续高速增长，2026-2030 年行业复合增速高于全球平均水平，赛道商业化空间充足；</w:t>
      </w:r>
    </w:p>
    <w:p w14:paraId="4E922EC0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医药临床岗人力薪酬逐年上涨，医学撰写、统计、QA 质控人员招聘、培养、带教成本持续抬升，企业降本增效诉求迫切，TrialCompiler 可直接削减重复性文档工作人力消耗。</w:t>
      </w:r>
    </w:p>
    <w:p w14:paraId="6D3EB817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4" w:name="heading_4"/>
      <w:r>
        <w:rPr>
          <w:rFonts w:hint="default" w:ascii="Times New Roman" w:hAnsi="Times New Roman" w:cs="Times New Roman"/>
          <w:lang w:val="en-US" w:eastAsia="zh-CN"/>
        </w:rPr>
        <w:t>（三）社会环境（Society）</w:t>
      </w:r>
      <w:bookmarkEnd w:id="4"/>
    </w:p>
    <w:p w14:paraId="280C4C62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创新药赛道竞争白热化，管线推进速度、新药上市时间成为企业核心竞争指标，通过 TrialCompiler 压缩临床文档筹备周期，可抢占专利销售窗口期；</w:t>
      </w:r>
    </w:p>
    <w:p w14:paraId="321AA49A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120" w:beforeAutospacing="0" w:after="120" w:afterAutospacing="0" w:line="288" w:lineRule="auto"/>
        <w:ind w:left="440" w:leftChars="0" w:right="0" w:hanging="440" w:firstLineChars="0"/>
        <w:jc w:val="left"/>
        <w:rPr>
          <w:rFonts w:hint="default" w:ascii="Times New Roman" w:hAnsi="Times New Roman" w:cs="Times New Roman" w:eastAsiaTheme="minorEastAsia"/>
          <w:kern w:val="2"/>
          <w:sz w:val="22"/>
          <w:szCs w:val="28"/>
          <w:lang w:val="en-US" w:eastAsia="zh-CN" w:bidi="ar-SA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全行业普遍存在临床经验碎片化痛点：历史试验思路、不良反应处置、试验设计经验分散存储于离线文档、邮件、员工个人记忆，人员离职直接造成研发知识断层，TrialCompiler 配套企业私有知识图谱可系统性沉淀内部经验；</w:t>
      </w:r>
    </w:p>
    <w:p w14:paraId="21AC5441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120" w:beforeAutospacing="0" w:after="120" w:afterAutospacing="0" w:line="288" w:lineRule="auto"/>
        <w:ind w:left="440" w:leftChars="0" w:right="0" w:rightChars="0" w:hanging="440" w:firstLineChars="0"/>
        <w:jc w:val="left"/>
        <w:rPr>
          <w:rFonts w:hint="default" w:ascii="Times New Roman" w:hAnsi="Times New Roman" w:cs="Times New Roman" w:eastAsiaTheme="minorEastAsia"/>
          <w:kern w:val="2"/>
          <w:sz w:val="22"/>
          <w:szCs w:val="28"/>
          <w:lang w:val="en-US" w:eastAsia="zh-CN" w:bidi="ar-SA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临床从业人员 60% 以上工时消耗在复制粘贴、文档校对、版本比对等低价值重复工作，挤占试验设计、医学研判等高价值核心工作，TrialCompiler 可释放专业人员精力；</w:t>
      </w:r>
    </w:p>
    <w:p w14:paraId="4FF3B04C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120" w:beforeAutospacing="0" w:after="120" w:afterAutospacing="0" w:line="288" w:lineRule="auto"/>
        <w:ind w:left="440" w:leftChars="0" w:right="0" w:rightChars="0" w:hanging="440" w:firstLineChars="0"/>
        <w:jc w:val="left"/>
        <w:rPr>
          <w:rFonts w:hint="default" w:ascii="Times New Roman" w:hAnsi="Times New Roman" w:cs="Times New Roman" w:eastAsiaTheme="minorEastAsia"/>
          <w:kern w:val="2"/>
          <w:sz w:val="22"/>
          <w:szCs w:val="28"/>
          <w:lang w:val="en-US" w:eastAsia="zh-CN" w:bidi="ar-SA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中药创新药临床监管规范持续细化，市面通用 AI 工具仅适配纯化药管线，缺少中医证候、中药疗效评价专属知识库，形成差异化市场空白，适配健康元中西药双线布局的 TrialCompiler 具备独有竞争力。</w:t>
      </w:r>
    </w:p>
    <w:p w14:paraId="13E10049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5" w:name="heading_5"/>
      <w:r>
        <w:rPr>
          <w:rFonts w:hint="default" w:ascii="Times New Roman" w:hAnsi="Times New Roman" w:cs="Times New Roman"/>
          <w:lang w:val="en-US" w:eastAsia="zh-CN"/>
        </w:rPr>
        <w:t>（四）技术环境（Technology）</w:t>
      </w:r>
      <w:bookmarkEnd w:id="5"/>
    </w:p>
    <w:p w14:paraId="6D8433AF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垂直医药大模型、私有文档微调、非结构化文本抽取、临床知识图谱技术成熟落地，可支撑 TrialCompiler 实现 EDC 数据自动回填、数百页临床方案 / CSR 初稿一键生成、全文档合规逻辑自动校验；</w:t>
      </w:r>
    </w:p>
    <w:p w14:paraId="56A2EA33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私有化本地部署、内网隔离技术成熟，TrialCompiler 采用本地算力架构，企业全部涉密临床数据不出内网，彻底规避公有云数据安全隐患；</w:t>
      </w:r>
    </w:p>
    <w:p w14:paraId="6A354DA0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当前市面主流工具存在明显短板：太美、泰格等 CRO SaaS 产品仅提供通用行业模板，无法导入企业专属历史临床数据；通用大模型对国内 NMPA 法规、中药临床试验术语适配精度不足；</w:t>
      </w:r>
    </w:p>
    <w:p w14:paraId="2B46B468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AI 智能 Agent 技术已规模化商用，TrialCompiler 内置知识检索智能体，可实现同适应症历史试验方案快速调取、跨项目试验设计经验复用，打通 “临床原始数据 — 标准化文档 — 企业专属知识资产” 完整闭环。</w:t>
      </w:r>
    </w:p>
    <w:p w14:paraId="5338A876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6" w:name="heading_6"/>
      <w:r>
        <w:rPr>
          <w:rFonts w:hint="default" w:ascii="Times New Roman" w:hAnsi="Times New Roman" w:cs="Times New Roman"/>
          <w:lang w:val="en-US" w:eastAsia="zh-CN"/>
        </w:rPr>
        <w:t>三、行业 SWOT 分析（聚焦健康元切入临床文档 AI 赛道）</w:t>
      </w:r>
      <w:bookmarkEnd w:id="6"/>
    </w:p>
    <w:p w14:paraId="3F4047EE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7" w:name="heading_7"/>
      <w:r>
        <w:rPr>
          <w:rFonts w:hint="default" w:ascii="Times New Roman" w:hAnsi="Times New Roman" w:cs="Times New Roman"/>
          <w:lang w:val="en-US" w:eastAsia="zh-CN"/>
        </w:rPr>
        <w:t>（一）优势 S（Strength）</w:t>
      </w:r>
      <w:bookmarkEnd w:id="7"/>
    </w:p>
    <w:p w14:paraId="4BD7A304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企业沉淀海量自有化药、中药临床方案、CSR、SAE 报告等独家数据，为 TrialCompiler 模型专属微调提供不可复制训练素材，形成区别于第三方标准化工具的核心壁垒；</w:t>
      </w:r>
    </w:p>
    <w:p w14:paraId="7581FA2E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行业稀缺的化药 + 中药双管线布局，TrialCompiler 同步搭建两类管线专属试验规则库、术语库、模板库，解决市面 AI 工具仅适配纯化药的短板；</w:t>
      </w:r>
    </w:p>
    <w:p w14:paraId="5394FAC9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企业已落地 OpenClaw 智能研发技术体系，具备数字化系统对接、AI 项目落地的底层技术储备，TrialCompiler 可无缝并入现有智能研发中台，无需从零搭建技术底座；</w:t>
      </w:r>
    </w:p>
    <w:p w14:paraId="7D695C30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8" w:name="heading_8"/>
      <w:r>
        <w:rPr>
          <w:rFonts w:hint="default" w:ascii="Times New Roman" w:hAnsi="Times New Roman" w:cs="Times New Roman"/>
          <w:lang w:val="en-US" w:eastAsia="zh-CN"/>
        </w:rPr>
        <w:t>（二）劣势 W（Weakness）</w:t>
      </w:r>
      <w:bookmarkEnd w:id="8"/>
    </w:p>
    <w:p w14:paraId="67F9E4C4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现有临床全流程高度依赖人工操作，无统一数字化临床知识库，数十年试验经验分散存储，为 TrialCompiler 知识库搭建带来前期文档标准化治理工作量；</w:t>
      </w:r>
    </w:p>
    <w:p w14:paraId="52DE7A55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企业暂无专职自研医药大模型团队，TrialCompiler 模型训练、迭代、长期运维需配套技术人力与资金投入；</w:t>
      </w:r>
    </w:p>
    <w:p w14:paraId="1E4B8D7C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历史临床文档格式、术语、版本不统一，上线前需完成批量清洗、标准化标注，存在短期实施成本；</w:t>
      </w:r>
    </w:p>
    <w:p w14:paraId="752B41BC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临床一线人员长期依赖人工撰写审核，对 AI 辅助工具的使用习惯、合规认知需要阶段性培训引导。</w:t>
      </w:r>
    </w:p>
    <w:p w14:paraId="45DD8EF9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9" w:name="heading_9"/>
      <w:r>
        <w:rPr>
          <w:rFonts w:hint="default" w:ascii="Times New Roman" w:hAnsi="Times New Roman" w:cs="Times New Roman"/>
          <w:lang w:val="en-US" w:eastAsia="zh-CN"/>
        </w:rPr>
        <w:t>（三）机会 O（Opportunity）</w:t>
      </w:r>
      <w:bookmarkEnd w:id="9"/>
    </w:p>
    <w:p w14:paraId="799948A4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市场主流服务商均采用公有 SaaS 模式，无法承接药企涉密私有临床数据，面向中西药综合药企的私有化定制临床文档系统存在明显市场空白，TrialCompiler 精准填补该缺口；</w:t>
      </w:r>
    </w:p>
    <w:p w14:paraId="36210A73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恒瑞、百济等头部创新药企自研 AI 平台仅聚焦肿瘤纯化药，无中药临床适配能力，健康元 TrialCompiler 双管线适配特性形成独特差异化优势；</w:t>
      </w:r>
    </w:p>
    <w:p w14:paraId="7FD89AD7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监管层面全面放开 AI 临床文书工具使用限制，落地 TrialCompiler 可直接缩短临床申报筹备周期、降低人工撰写与整改成本；</w:t>
      </w:r>
    </w:p>
    <w:p w14:paraId="5713952E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临床文档智能化属于药企刚需单点场景，无需全流程大规模数字化改造，TrialCompiler 轻量化分步落地，投入小、见效快，可快速输出工时节约、返工减少等可量化收益；</w:t>
      </w:r>
    </w:p>
    <w:p w14:paraId="2D16A9EA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全球头部药企标杆案例充分验证技术可行性：默克、恒瑞、百济神州同类临床 AI 系统落地后，文档撰写工时下降 30%-65%，申报整改频次大幅降低，为 TrialCompiler 落地效果提供行业参照。</w:t>
      </w:r>
    </w:p>
    <w:p w14:paraId="1D83E2B3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0" w:name="heading_10"/>
      <w:r>
        <w:rPr>
          <w:rFonts w:hint="default" w:ascii="Times New Roman" w:hAnsi="Times New Roman" w:cs="Times New Roman"/>
          <w:lang w:val="en-US" w:eastAsia="zh-CN"/>
        </w:rPr>
        <w:t>（四）威胁 T（Threat）</w:t>
      </w:r>
      <w:bookmarkEnd w:id="10"/>
    </w:p>
    <w:p w14:paraId="642F37AC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太美医疗、医微讯、泰格医药持续迭代标准化 SaaS 产品，依靠低价轻量化优势抢占中小药企市场，存在外部工具分流需求风险；</w:t>
      </w:r>
    </w:p>
    <w:p w14:paraId="0AB6AA9B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通用大模型持续优化，通用写作工具逐步补齐医药基础能力，存在同质化竞争风险；</w:t>
      </w:r>
    </w:p>
    <w:p w14:paraId="34FC810A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临床数据合规、数据安全监管趋严，模型训练、数据存储需满足 GCP、数据安全法多重要求，合规管控成本提升；</w:t>
      </w:r>
    </w:p>
    <w:p w14:paraId="6B428B80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头部药企加大 AI 研发投入，自研临床 AI 平台持续迭代，形成先发技术优势。</w:t>
      </w:r>
    </w:p>
    <w:p w14:paraId="284305CC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1" w:name="heading_11"/>
      <w:r>
        <w:rPr>
          <w:rFonts w:hint="default" w:ascii="Times New Roman" w:hAnsi="Times New Roman" w:cs="Times New Roman"/>
          <w:lang w:val="en-US" w:eastAsia="zh-CN"/>
        </w:rPr>
        <w:t>四、行业发展核心结论</w:t>
      </w:r>
      <w:bookmarkEnd w:id="11"/>
    </w:p>
    <w:p w14:paraId="5EB0522B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宏观维度：政策、经济、技术三重红利支撑临床 AI 产业发展，临床文档智能化是药企数字化转型投入产出最优切入点，健康元自研 TrialCompiler 贴合行业发展大势；</w:t>
      </w:r>
    </w:p>
    <w:p w14:paraId="3344D9E3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竞争维度：第三方通用 SaaS、纯化药药企自研平台均存在固有短板，兼具中西药双线适配、私有化私有数据训练、轻量化单点落地三大特性的 TrialCompiler，具备行业稀缺差异化竞争力；</w:t>
      </w:r>
    </w:p>
    <w:p w14:paraId="65AE5406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落地路径：无需对临床试验全链条进行全域 AI 改造，TrialCompiler 聚焦临床方案、CSR 总结报告智能生成 + 企业私有临床知识图谱沉淀单点深耕，同步实现人工工时压缩、历史经验复用、合规风险前置管控三重可量化价值；</w:t>
      </w:r>
    </w:p>
    <w:p w14:paraId="355D6C95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长期战略价值：TrialCompiler 落地后沉淀企业独家中西药临床数字资产，从根源解决行业普遍存在的经验流失、重复文书劳动两大痛点，持续缩短创新药临床研发周期，长期降低整体临床研发综合成本，夯实健康元创新管线核心竞争力。</w:t>
      </w:r>
    </w:p>
    <w:p w14:paraId="3A2DD7CA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2" w:name="heading_12"/>
      <w:r>
        <w:rPr>
          <w:rFonts w:hint="default" w:ascii="Times New Roman" w:hAnsi="Times New Roman" w:cs="Times New Roman"/>
          <w:lang w:val="en-US" w:eastAsia="zh-CN"/>
        </w:rPr>
        <w:t>五、数据与资料来源清单</w:t>
      </w:r>
      <w:bookmarkEnd w:id="12"/>
    </w:p>
    <w:p w14:paraId="4AC8CC52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3" w:name="heading_13"/>
      <w:r>
        <w:rPr>
          <w:rFonts w:hint="default" w:ascii="Times New Roman" w:hAnsi="Times New Roman" w:cs="Times New Roman"/>
          <w:lang w:val="en-US" w:eastAsia="zh-CN"/>
        </w:rPr>
        <w:t>（一）企业内部资料</w:t>
      </w:r>
      <w:bookmarkEnd w:id="13"/>
    </w:p>
    <w:p w14:paraId="53ABD262">
      <w:pPr>
        <w:keepNext w:val="0"/>
        <w:keepLines w:val="0"/>
        <w:widowControl w:val="0"/>
        <w:numPr>
          <w:ilvl w:val="0"/>
          <w:numId w:val="10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健康元药业集团官网《健康元探索 OpenClaw 技术应用 加速构建面向未来的智能研发》</w:t>
      </w:r>
    </w:p>
    <w:p w14:paraId="27A2937D">
      <w:pPr>
        <w:keepNext w:val="0"/>
        <w:keepLines w:val="0"/>
        <w:widowControl w:val="0"/>
        <w:numPr>
          <w:ilvl w:val="0"/>
          <w:numId w:val="10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健康元药业集团 2025 年年度报告</w:t>
      </w:r>
    </w:p>
    <w:p w14:paraId="6EBB22B2">
      <w:pPr>
        <w:keepNext w:val="0"/>
        <w:keepLines w:val="0"/>
        <w:widowControl w:val="0"/>
        <w:numPr>
          <w:ilvl w:val="0"/>
          <w:numId w:val="10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健康元药业集团 2026 年一季度报告</w:t>
      </w:r>
    </w:p>
    <w:p w14:paraId="239B1ABA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4" w:name="heading_14"/>
      <w:r>
        <w:rPr>
          <w:rFonts w:hint="default" w:ascii="Times New Roman" w:hAnsi="Times New Roman" w:cs="Times New Roman"/>
          <w:lang w:val="en-US" w:eastAsia="zh-CN"/>
        </w:rPr>
        <w:t>（二）国际权威行业白皮书与调研</w:t>
      </w:r>
      <w:bookmarkEnd w:id="14"/>
    </w:p>
    <w:p w14:paraId="6FC15D87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Medidata《2026 State of AI in Clinical Trials》AI 临床试验白皮书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链接：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instrText xml:space="preserve"> HYPERLINK "https://www.3ds.com/assets/invest/2026-05/state-of-ai-in-clinical-trials-release-final-5-18-26.pdf" </w:instrTex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separate"/>
      </w:r>
      <w:r>
        <w:rPr>
          <w:rStyle w:val="7"/>
          <w:rFonts w:hint="default" w:ascii="Times New Roman" w:hAnsi="Times New Roman" w:eastAsia="等线" w:cs="Times New Roman"/>
          <w:color w:val="3370FF"/>
          <w:sz w:val="22"/>
          <w:szCs w:val="28"/>
          <w:u w:val="none"/>
          <w:lang w:val="en-US"/>
        </w:rPr>
        <w:t>https://www.3ds.com/assets/invest/2026-05/state-of-ai-in-clinical-trials-release-final-5-18-26.pdf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end"/>
      </w:r>
    </w:p>
    <w:p w14:paraId="2FD8A7CE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Medidata 中国 AI 临床调研报告解读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链接：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instrText xml:space="preserve"> HYPERLINK "https://www.medidata.com/cn/life-science-resources/medidata-blog/ai-report-reveals-70-of-companies-say-exceed-expectations/" </w:instrTex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separate"/>
      </w:r>
      <w:r>
        <w:rPr>
          <w:rStyle w:val="7"/>
          <w:rFonts w:hint="default" w:ascii="Times New Roman" w:hAnsi="Times New Roman" w:eastAsia="等线" w:cs="Times New Roman"/>
          <w:color w:val="3370FF"/>
          <w:sz w:val="22"/>
          <w:szCs w:val="28"/>
          <w:u w:val="none"/>
          <w:lang w:val="en-US"/>
        </w:rPr>
        <w:t>https://www.medidata.com/cn/life-science-resources/medidata-blog/ai-report-reveals-70-of-companies-say-exceed-expectations/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end"/>
      </w:r>
    </w:p>
    <w:p w14:paraId="40BA77D8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Medidata 调研媒体转载报道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链接：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instrText xml:space="preserve"> HYPERLINK "https://news.qq.com/rain/a/20251211A06V7U00" </w:instrTex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separate"/>
      </w:r>
      <w:r>
        <w:rPr>
          <w:rStyle w:val="7"/>
          <w:rFonts w:hint="default" w:ascii="Times New Roman" w:hAnsi="Times New Roman" w:eastAsia="等线" w:cs="Times New Roman"/>
          <w:color w:val="3370FF"/>
          <w:sz w:val="22"/>
          <w:szCs w:val="28"/>
          <w:u w:val="none"/>
          <w:lang w:val="en-US"/>
        </w:rPr>
        <w:t>https://news.qq.com/rain/a/20251211A06V7U00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end"/>
      </w:r>
    </w:p>
    <w:p w14:paraId="6C0EEFDC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5" w:name="heading_15"/>
      <w:r>
        <w:rPr>
          <w:rFonts w:hint="default" w:ascii="Times New Roman" w:hAnsi="Times New Roman" w:cs="Times New Roman"/>
          <w:lang w:val="en-US" w:eastAsia="zh-CN"/>
        </w:rPr>
        <w:t>（三）国内产业研报、行业案例文章</w:t>
      </w:r>
      <w:bookmarkEnd w:id="15"/>
    </w:p>
    <w:p w14:paraId="129BD866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《2026-2030 中国 AI 制药行业全景报告》（PDF 文档）</w:t>
      </w:r>
    </w:p>
    <w:p w14:paraId="48FD61E9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《2025 医药行业 Agent 案例：从研发到终端的 8 大场景 + 15 个标杆实践》阿里云开发者社区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链接：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instrText xml:space="preserve"> HYPERLINK "https://news.10jqka.com.cn/20250714/c669613798.shtml" </w:instrTex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separate"/>
      </w:r>
      <w:r>
        <w:rPr>
          <w:rStyle w:val="7"/>
          <w:rFonts w:hint="default" w:ascii="Times New Roman" w:hAnsi="Times New Roman" w:eastAsia="等线" w:cs="Times New Roman"/>
          <w:color w:val="3370FF"/>
          <w:sz w:val="22"/>
          <w:szCs w:val="28"/>
          <w:u w:val="none"/>
          <w:lang w:val="en-US"/>
        </w:rPr>
        <w:t>https://news.10jqka.com.cn/20250714/c669613798.shtml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end"/>
      </w:r>
    </w:p>
    <w:p w14:paraId="4B89F803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《人工智能在医学写作市场规模、份额 | 成长报告 [2034]》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>链接：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instrText xml:space="preserve"> HYPERLINK "https://www.10100.com/article/75661621" </w:instrTex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separate"/>
      </w:r>
      <w:r>
        <w:rPr>
          <w:rStyle w:val="7"/>
          <w:rFonts w:hint="default" w:ascii="Times New Roman" w:hAnsi="Times New Roman" w:eastAsia="等线" w:cs="Times New Roman"/>
          <w:color w:val="3370FF"/>
          <w:sz w:val="22"/>
          <w:szCs w:val="28"/>
          <w:u w:val="none"/>
          <w:lang w:val="en-US"/>
        </w:rPr>
        <w:t>https://www.10100.com/article/75661621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end"/>
      </w:r>
    </w:p>
    <w:p w14:paraId="429D8E4B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6" w:name="heading_16"/>
      <w:r>
        <w:rPr>
          <w:rFonts w:hint="default" w:ascii="Times New Roman" w:hAnsi="Times New Roman" w:cs="Times New Roman"/>
          <w:lang w:val="en-US" w:eastAsia="zh-CN"/>
        </w:rPr>
        <w:t>（四）行业数据库、国内临床 AI 竞品官网</w:t>
      </w:r>
      <w:bookmarkEnd w:id="16"/>
    </w:p>
    <w:p w14:paraId="6ADC81DB">
      <w:pPr>
        <w:keepNext w:val="0"/>
        <w:keepLines w:val="0"/>
        <w:widowControl w:val="0"/>
        <w:numPr>
          <w:ilvl w:val="0"/>
          <w:numId w:val="13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 xml:space="preserve">医药魔方 TrialCube 临床数据库 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instrText xml:space="preserve"> HYPERLINK "https://www.pharmcube.com/" </w:instrTex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separate"/>
      </w:r>
      <w:r>
        <w:rPr>
          <w:rStyle w:val="7"/>
          <w:rFonts w:hint="default" w:ascii="Times New Roman" w:hAnsi="Times New Roman" w:eastAsia="等线" w:cs="Times New Roman"/>
          <w:color w:val="3370FF"/>
          <w:sz w:val="22"/>
          <w:szCs w:val="28"/>
          <w:u w:val="none"/>
          <w:lang w:val="en-US"/>
        </w:rPr>
        <w:t>https://www.pharmcube.com/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end"/>
      </w:r>
    </w:p>
    <w:p w14:paraId="28389783">
      <w:pPr>
        <w:keepNext w:val="0"/>
        <w:keepLines w:val="0"/>
        <w:widowControl w:val="0"/>
        <w:numPr>
          <w:ilvl w:val="0"/>
          <w:numId w:val="13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 xml:space="preserve">丁香园 Insight 医药数据库 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instrText xml:space="preserve"> HYPERLINK "https://db.dxy.cn/" </w:instrTex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separate"/>
      </w:r>
      <w:r>
        <w:rPr>
          <w:rStyle w:val="7"/>
          <w:rFonts w:hint="default" w:ascii="Times New Roman" w:hAnsi="Times New Roman" w:eastAsia="等线" w:cs="Times New Roman"/>
          <w:color w:val="3370FF"/>
          <w:sz w:val="22"/>
          <w:szCs w:val="28"/>
          <w:u w:val="none"/>
          <w:lang w:val="en-US"/>
        </w:rPr>
        <w:t>https://db.dxy.cn/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end"/>
      </w:r>
    </w:p>
    <w:p w14:paraId="55A27A23">
      <w:pPr>
        <w:keepNext w:val="0"/>
        <w:keepLines w:val="0"/>
        <w:widowControl w:val="0"/>
        <w:numPr>
          <w:ilvl w:val="0"/>
          <w:numId w:val="13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 xml:space="preserve">医渡科技临床 AI 服务商官网 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instrText xml:space="preserve"> HYPERLINK "https://www.yidutech.com/" </w:instrTex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separate"/>
      </w:r>
      <w:r>
        <w:rPr>
          <w:rStyle w:val="7"/>
          <w:rFonts w:hint="default" w:ascii="Times New Roman" w:hAnsi="Times New Roman" w:eastAsia="等线" w:cs="Times New Roman"/>
          <w:color w:val="3370FF"/>
          <w:sz w:val="22"/>
          <w:szCs w:val="28"/>
          <w:u w:val="none"/>
          <w:lang w:val="en-US"/>
        </w:rPr>
        <w:t>https://www.yidutech.com/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end"/>
      </w:r>
    </w:p>
    <w:p w14:paraId="1F1AAD75">
      <w:pPr>
        <w:keepNext w:val="0"/>
        <w:keepLines w:val="0"/>
        <w:widowControl w:val="0"/>
        <w:numPr>
          <w:ilvl w:val="0"/>
          <w:numId w:val="13"/>
        </w:numPr>
        <w:suppressLineNumbers w:val="0"/>
        <w:spacing w:before="120" w:beforeAutospacing="0" w:after="120" w:afterAutospacing="0" w:line="288" w:lineRule="auto"/>
        <w:ind w:left="440" w:right="0" w:hanging="44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t xml:space="preserve">Medidata 中国官网 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instrText xml:space="preserve"> HYPERLINK "https://www.medidata.com/cn/" </w:instrTex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separate"/>
      </w:r>
      <w:r>
        <w:rPr>
          <w:rStyle w:val="7"/>
          <w:rFonts w:hint="default" w:ascii="Times New Roman" w:hAnsi="Times New Roman" w:eastAsia="等线" w:cs="Times New Roman"/>
          <w:color w:val="3370FF"/>
          <w:sz w:val="22"/>
          <w:szCs w:val="28"/>
          <w:u w:val="none"/>
          <w:lang w:val="en-US"/>
        </w:rPr>
        <w:t>https://www.medidata.com/cn/</w:t>
      </w:r>
      <w:r>
        <w:rPr>
          <w:rFonts w:hint="default" w:ascii="Times New Roman" w:hAnsi="Times New Roman" w:eastAsia="等线" w:cs="Times New Roman"/>
          <w:kern w:val="2"/>
          <w:sz w:val="24"/>
          <w:szCs w:val="28"/>
          <w:lang w:val="en-US" w:eastAsia="zh-CN" w:bidi="ar"/>
        </w:rPr>
        <w:fldChar w:fldCharType="end"/>
      </w:r>
      <w:bookmarkStart w:id="17" w:name="_GoBack"/>
      <w:bookmarkEnd w:id="17"/>
    </w:p>
    <w:p w14:paraId="5324029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Times New Roman" w:hAnsi="Times New Roman" w:cs="Times New Roman"/>
          <w:sz w:val="22"/>
          <w:szCs w:val="28"/>
          <w:lang w:val="en-US"/>
        </w:rPr>
      </w:pPr>
    </w:p>
    <w:p w14:paraId="616D3AA2">
      <w:pPr>
        <w:rPr>
          <w:rFonts w:hint="default" w:ascii="Times New Roman" w:hAnsi="Times New Roman" w:cs="Times New Roman"/>
          <w:sz w:val="22"/>
          <w:szCs w:val="28"/>
        </w:rPr>
      </w:pPr>
    </w:p>
    <w:sectPr>
      <w:pgSz w:w="11905" w:h="16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6C930"/>
    <w:multiLevelType w:val="multilevel"/>
    <w:tmpl w:val="B996C930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BAA68DF3"/>
    <w:multiLevelType w:val="multilevel"/>
    <w:tmpl w:val="BAA68DF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C6C25D9C"/>
    <w:multiLevelType w:val="multilevel"/>
    <w:tmpl w:val="C6C25D9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C84277C2"/>
    <w:multiLevelType w:val="multilevel"/>
    <w:tmpl w:val="C84277C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E104B67F"/>
    <w:multiLevelType w:val="multilevel"/>
    <w:tmpl w:val="E104B67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FBB0E6B9"/>
    <w:multiLevelType w:val="multilevel"/>
    <w:tmpl w:val="FBB0E6B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0B622833"/>
    <w:multiLevelType w:val="multilevel"/>
    <w:tmpl w:val="0B62283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0BE92F3D"/>
    <w:multiLevelType w:val="multilevel"/>
    <w:tmpl w:val="0BE92F3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10D100A9"/>
    <w:multiLevelType w:val="multilevel"/>
    <w:tmpl w:val="10D100A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224C8392"/>
    <w:multiLevelType w:val="multilevel"/>
    <w:tmpl w:val="224C839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40CC3861"/>
    <w:multiLevelType w:val="multilevel"/>
    <w:tmpl w:val="40CC386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5A4518A4"/>
    <w:multiLevelType w:val="multilevel"/>
    <w:tmpl w:val="5A4518A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6375EC02"/>
    <w:multiLevelType w:val="multilevel"/>
    <w:tmpl w:val="6375EC0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12"/>
  </w:num>
  <w:num w:numId="9">
    <w:abstractNumId w:val="1"/>
  </w:num>
  <w:num w:numId="10">
    <w:abstractNumId w:val="10"/>
  </w:num>
  <w:num w:numId="11">
    <w:abstractNumId w:val="8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42034"/>
    <w:rsid w:val="2F642034"/>
    <w:rsid w:val="7020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2348</Words>
  <Characters>3075</Characters>
  <Lines>0</Lines>
  <Paragraphs>0</Paragraphs>
  <TotalTime>11</TotalTime>
  <ScaleCrop>false</ScaleCrop>
  <LinksUpToDate>false</LinksUpToDate>
  <CharactersWithSpaces>3230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2026-07-17T07:35:00Z</dcterms:created>
  <dc:creator>张欣怡</dc:creator>
  <cp:lastModifiedBy>张欣怡</cp:lastModifiedBy>
  <dcterms:modified xsi:type="dcterms:W3CDTF">2026-07-17T12:35:40Z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9694A07E02F74025ADA4E62214E90081_11</vt:lpwstr>
  </property>
  <property fmtid="{D5CDD505-2E9C-101B-9397-08002B2CF9AE}" pid="4" name="KSOTemplateDocerSaveRecord">
    <vt:lpwstr>eyJoZGlkIjoiZjFmZWIzNDg2MmIzZjExOTIzMmViNTBmYTMwYTk0ZWYiLCJ1c2VySWQiOiIxNjY3Mzg4MjM3In0=</vt:lpwstr>
  </property>
</Properties>
</file>