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4EC09">
      <w:pPr>
        <w:pStyle w:val="2"/>
        <w:bidi w:val="0"/>
        <w:jc w:val="center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  <w:lang w:val="en-US" w:eastAsia="zh-CN"/>
        </w:rPr>
        <w:t>TrialCompiler项目风险与质量控制</w:t>
      </w:r>
    </w:p>
    <w:p w14:paraId="39D5F43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</w:rPr>
        <w:t>一、附件说明</w:t>
      </w:r>
    </w:p>
    <w:p w14:paraId="0B4FA31E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default" w:ascii="Times New Roman" w:hAnsi="Times New Roman" w:eastAsia="仿宋_GB2312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仿宋_GB2312" w:cs="Times New Roman"/>
          <w:b w:val="0"/>
          <w:bCs w:val="0"/>
          <w:kern w:val="0"/>
          <w:sz w:val="24"/>
          <w:szCs w:val="24"/>
          <w:lang w:val="en-US" w:eastAsia="zh-CN" w:bidi="ar"/>
        </w:rPr>
        <w:t>本附件全面梳理 TrialCompiler 临床 AI 工具在</w:t>
      </w:r>
      <w:r>
        <w:rPr>
          <w:rStyle w:val="7"/>
          <w:rFonts w:hint="default" w:ascii="Times New Roman" w:hAnsi="Times New Roman" w:eastAsia="仿宋_GB2312" w:cs="Times New Roman"/>
          <w:b w:val="0"/>
          <w:bCs w:val="0"/>
          <w:kern w:val="0"/>
          <w:sz w:val="24"/>
          <w:szCs w:val="24"/>
          <w:lang w:val="en-US" w:eastAsia="zh-CN" w:bidi="ar"/>
        </w:rPr>
        <w:t>模型生成、文档流转、数据存储、人员使用、历史知识库复用</w:t>
      </w:r>
      <w:r>
        <w:rPr>
          <w:rFonts w:hint="default" w:ascii="Times New Roman" w:hAnsi="Times New Roman" w:eastAsia="仿宋_GB2312" w:cs="Times New Roman"/>
          <w:b w:val="0"/>
          <w:bCs w:val="0"/>
          <w:kern w:val="0"/>
          <w:sz w:val="24"/>
          <w:szCs w:val="24"/>
          <w:lang w:val="en-US" w:eastAsia="zh-CN" w:bidi="ar"/>
        </w:rPr>
        <w:t>全生命周期内存在的业务、合规、数据、质量类风险，逐一列明风险触发后的业务后果，并配套可落地、贴合健康元临床 GCP 管理规范的控制措施。 开题主动完整披露风险并形成闭环管控方案，充分体现项目设计严谨性，规避 AI 临床工具常见合规漏洞，适配药企临床试验药监核查、数据安全管理要求。</w:t>
      </w:r>
    </w:p>
    <w:p w14:paraId="4F8F80EA">
      <w:pPr>
        <w:rPr>
          <w:rFonts w:hint="default" w:ascii="Times New Roman" w:hAnsi="Times New Roman" w:eastAsia="仿宋_GB2312" w:cs="Times New Roman"/>
        </w:rPr>
      </w:pPr>
    </w:p>
    <w:p w14:paraId="475A5255">
      <w:pPr>
        <w:pStyle w:val="3"/>
        <w:numPr>
          <w:ilvl w:val="0"/>
          <w:numId w:val="1"/>
        </w:numPr>
        <w:bidi w:val="0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</w:rPr>
        <w:t>全维度风险 - 后果 - 管控措施矩阵表</w:t>
      </w:r>
    </w:p>
    <w:tbl>
      <w:tblPr>
        <w:tblW w:w="951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6"/>
        <w:gridCol w:w="1950"/>
        <w:gridCol w:w="2500"/>
        <w:gridCol w:w="3305"/>
      </w:tblGrid>
      <w:tr w14:paraId="2B1F9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5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FB5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b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风险分类</w:t>
            </w:r>
          </w:p>
        </w:tc>
        <w:tc>
          <w:tcPr>
            <w:tcW w:w="19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D14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b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具体风险项</w:t>
            </w:r>
          </w:p>
        </w:tc>
        <w:tc>
          <w:tcPr>
            <w:tcW w:w="25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674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b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可能后果</w:t>
            </w:r>
          </w:p>
        </w:tc>
        <w:tc>
          <w:tcPr>
            <w:tcW w:w="330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E92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b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落地控制措施（适配健康元临床业务）</w:t>
            </w:r>
          </w:p>
        </w:tc>
      </w:tr>
      <w:tr w14:paraId="5D7EF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5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AF1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内容生成风险</w:t>
            </w:r>
          </w:p>
        </w:tc>
        <w:tc>
          <w:tcPr>
            <w:tcW w:w="19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4A5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候选试验事实抽取错误</w:t>
            </w:r>
          </w:p>
        </w:tc>
        <w:tc>
          <w:tcPr>
            <w:tcW w:w="25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6F4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错误给药周期、入排标准、疗效终点等参数直接导入方案初稿，造成文档基础数据失真，后续申报返工</w:t>
            </w:r>
          </w:p>
        </w:tc>
        <w:tc>
          <w:tcPr>
            <w:tcW w:w="330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0732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AI 生成全部试验事实添加置信度提示标签，低置信度内容标红高亮； </w:t>
            </w:r>
          </w:p>
          <w:p w14:paraId="42BBC04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所有自动抽取内容设置强制人工复核弹窗，医学 / 统计专员确认签字后方可写入正式文档； </w:t>
            </w:r>
          </w:p>
          <w:p w14:paraId="58CC53D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Chars="0" w:right="0" w:right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 系统留存每条抽取事实的原始文档溯源链路。</w:t>
            </w:r>
          </w:p>
        </w:tc>
      </w:tr>
      <w:tr w14:paraId="08619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5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6E2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文档逻辑校验风险</w:t>
            </w:r>
          </w:p>
        </w:tc>
        <w:tc>
          <w:tcPr>
            <w:tcW w:w="19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557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语义冲突漏检（新旧参数矛盾、条款冲突）</w:t>
            </w:r>
          </w:p>
        </w:tc>
        <w:tc>
          <w:tcPr>
            <w:tcW w:w="25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D34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修订后旧参数、冲突条款残留在方案、ICF、SAP 配套文件中，多文件口径不一致，药监核查缺陷、临床整改延期</w:t>
            </w:r>
          </w:p>
        </w:tc>
        <w:tc>
          <w:tcPr>
            <w:tcW w:w="330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5029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搭建双重校验机制：基础确定性字段数值比对 + 全文语义关联校验； </w:t>
            </w:r>
          </w:p>
          <w:p w14:paraId="3DA83A4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Chars="0" w:right="0" w:right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 自动生成冲突问题清单，标记冲突位置、新旧版本差异；3. 质量 QA 岗位定期人工抽检输出文档，月度形成校验漏检复盘报告。</w:t>
            </w:r>
          </w:p>
        </w:tc>
      </w:tr>
      <w:tr w14:paraId="03DD2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5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281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企业合规规则适配风险</w:t>
            </w:r>
          </w:p>
        </w:tc>
        <w:tc>
          <w:tcPr>
            <w:tcW w:w="19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AA8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企业内部临床 SOP、NMPA/ICH 规则误适用</w:t>
            </w:r>
          </w:p>
        </w:tc>
        <w:tc>
          <w:tcPr>
            <w:tcW w:w="25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0AB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套用不匹配管线、不对应临床分期的合规模板，生成不符合健康元中西药管线专属要求的方案条款，引发合规缺陷</w:t>
            </w:r>
          </w:p>
        </w:tc>
        <w:tc>
          <w:tcPr>
            <w:tcW w:w="330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DABD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所有合规规则绑定明确适用范围：区分化药 / 中药、I/II/III 期、适应症； </w:t>
            </w:r>
          </w:p>
          <w:p w14:paraId="7C64B94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每条规则留存版本号、编制责任部门、生效失效日期； </w:t>
            </w:r>
          </w:p>
          <w:p w14:paraId="04F05DF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Chars="0" w:right="0" w:right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 法规更新后统一批量迭代规则库，变更记录全程留痕。</w:t>
            </w:r>
          </w:p>
        </w:tc>
      </w:tr>
      <w:tr w14:paraId="7F536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5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485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文档版本管控风险</w:t>
            </w:r>
          </w:p>
        </w:tc>
        <w:tc>
          <w:tcPr>
            <w:tcW w:w="19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48B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静默覆盖正式归档文档</w:t>
            </w:r>
          </w:p>
        </w:tc>
        <w:tc>
          <w:tcPr>
            <w:tcW w:w="25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1F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无操作记录下修改已定稿、归档至 TMF 系统的临床文件，缺失审计追踪轨迹，违反 GCP 全流程溯源要求，产生合规追责风险</w:t>
            </w:r>
          </w:p>
        </w:tc>
        <w:tc>
          <w:tcPr>
            <w:tcW w:w="330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85C9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系统权限硬性限制：AI 仅允许生成草稿副本，禁止直接覆盖锁定正式版本； </w:t>
            </w:r>
          </w:p>
          <w:p w14:paraId="570A172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所有 AI 修改操作生成独立修订副本，新旧版本自动保存红线对比稿； </w:t>
            </w:r>
          </w:p>
          <w:p w14:paraId="2E0BF77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Chars="0" w:right="0" w:right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 正式文档修改必须走跨部门会审流程，留存审批记录。</w:t>
            </w:r>
          </w:p>
        </w:tc>
      </w:tr>
      <w:tr w14:paraId="4CA16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5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44A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临床数据安全风险</w:t>
            </w:r>
          </w:p>
        </w:tc>
        <w:tc>
          <w:tcPr>
            <w:tcW w:w="19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CAC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受试者、管线敏感临床资料越权访问</w:t>
            </w:r>
          </w:p>
        </w:tc>
        <w:tc>
          <w:tcPr>
            <w:tcW w:w="25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C97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未授权人员查看在研创新药试验数据、受试者隐私信息，违反《数据安全法》《个人信息保护法》，存在数据泄露处罚风险</w:t>
            </w:r>
          </w:p>
        </w:tc>
        <w:tc>
          <w:tcPr>
            <w:tcW w:w="330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7C4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搭建项目 + 角色双层分级权限体系，按临床管线、岗位分配文档查看 / 编辑权限； 2. 敏感临床数据脱敏展示，完整原始资料仅医学负责人、QA 可查看； 3. 全系统操作日志永久归档，记录账号、操作内容、访问时间，支持内审与药监调取。</w:t>
            </w:r>
          </w:p>
        </w:tc>
      </w:tr>
      <w:tr w14:paraId="41968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5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317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人员使用管理风险</w:t>
            </w:r>
          </w:p>
        </w:tc>
        <w:tc>
          <w:tcPr>
            <w:tcW w:w="19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132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临床人员过度信任 AI 输出内容，弱化专业医学判断</w:t>
            </w:r>
          </w:p>
        </w:tc>
        <w:tc>
          <w:tcPr>
            <w:tcW w:w="25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8C8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工作人员直接采纳 AI 生成内容不做专业审核，遗漏医学设计缺陷，造成临床试验设计缺陷、申报驳回</w:t>
            </w:r>
          </w:p>
        </w:tc>
        <w:tc>
          <w:tcPr>
            <w:tcW w:w="330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128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系统首页、每篇生成文档强制提示：AI 仅辅助撰写，医学人员承担最终审核责任； 2. 所有 AI 生成段落强制标注内容来源文档、AI 生成标识； 3. 文档定稿前必须勾选人工专业确认框，未确认无法导出正式 Word。</w:t>
            </w:r>
          </w:p>
        </w:tc>
      </w:tr>
      <w:tr w14:paraId="4CC21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5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570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知识库数据源风险</w:t>
            </w:r>
          </w:p>
        </w:tc>
        <w:tc>
          <w:tcPr>
            <w:tcW w:w="19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623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入库历史旧临床文件质量参差不齐，存在历史错误</w:t>
            </w:r>
          </w:p>
        </w:tc>
        <w:tc>
          <w:tcPr>
            <w:tcW w:w="25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98E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历史方案内错误试验设计、不合规条款被 AI 复用至新项目，重复出现同类临床缺陷，持续增加整改成本</w:t>
            </w:r>
          </w:p>
        </w:tc>
        <w:tc>
          <w:tcPr>
            <w:tcW w:w="330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D81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企业历史临床资料分级管理：A 级（QA 审核无误优质文档）、B 级（待复核旧文档）、C 级（存在缺陷禁止复用）； 2. 仅 A 级确认文档可进入 AI 有效知识库，B/C 级文档仅支持人工查阅，禁止 AI 自动引用； 3. 每年定期清理知识库，更新淘汰过时、存在缺陷的历史文件。</w:t>
            </w:r>
          </w:p>
        </w:tc>
      </w:tr>
      <w:tr w14:paraId="6E2FF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5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C9E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项目落地实施风险</w:t>
            </w:r>
          </w:p>
        </w:tc>
        <w:tc>
          <w:tcPr>
            <w:tcW w:w="19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DBD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临床各部门接受度不足，工具推广使用率低</w:t>
            </w:r>
          </w:p>
        </w:tc>
        <w:tc>
          <w:tcPr>
            <w:tcW w:w="25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4A5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项目投入无法转化实际降本收益，工时节约、返工减少价值无法兑现，项目投资回报不及预期</w:t>
            </w:r>
          </w:p>
        </w:tc>
        <w:tc>
          <w:tcPr>
            <w:tcW w:w="330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0B4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分阶段小范围 POC 试点，优先选择医学写作团队试用，收集需求迭代优化； 2. 配套分层培训：基础操作培训 + QA 合规专项培训，制作中西药管线操作指引手册； 3. 设置月度使用反馈通道，快速响应临床岗位操作痛点。</w:t>
            </w:r>
          </w:p>
        </w:tc>
      </w:tr>
      <w:tr w14:paraId="36B3C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5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478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系统运维迭代风险</w:t>
            </w:r>
          </w:p>
        </w:tc>
        <w:tc>
          <w:tcPr>
            <w:tcW w:w="19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B17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NMPA、ICH 法规更新后，模型合规校验规则滞后</w:t>
            </w:r>
          </w:p>
        </w:tc>
        <w:tc>
          <w:tcPr>
            <w:tcW w:w="25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30B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新规发布后 AI 未同步更新校验标准，输出文档不符合最新监管要求，引发飞检缺陷</w:t>
            </w:r>
          </w:p>
        </w:tc>
        <w:tc>
          <w:tcPr>
            <w:tcW w:w="330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577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建立法规动态监测机制，注册专员同步跟踪国内外临床指导原则更新； 2. 设立季度规则迭代固定节点，重大法规更新启动紧急迭代流程； 3. 迭代完成后开展专项文档测试，验证合规校验准确性。</w:t>
            </w:r>
          </w:p>
        </w:tc>
      </w:tr>
    </w:tbl>
    <w:p w14:paraId="2CE627D7">
      <w:pPr>
        <w:pStyle w:val="3"/>
        <w:bidi w:val="0"/>
        <w:jc w:val="both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</w:rPr>
        <w:t>三、风险分级与兜底管控总则</w:t>
      </w:r>
    </w:p>
    <w:p w14:paraId="6E2BD5E7">
      <w:pPr>
        <w:numPr>
          <w:ilvl w:val="0"/>
          <w:numId w:val="6"/>
        </w:numPr>
        <w:spacing w:before="0" w:after="120" w:line="360" w:lineRule="auto"/>
        <w:ind w:left="425" w:leftChars="0" w:hanging="425" w:firstLineChars="0"/>
        <w:jc w:val="both"/>
        <w:rPr>
          <w:rFonts w:hint="default" w:ascii="Times New Roman" w:hAnsi="Times New Roman" w:eastAsia="仿宋_GB2312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仿宋_GB2312" w:cs="Times New Roman"/>
          <w:b w:val="0"/>
          <w:i w:val="0"/>
          <w:strike w:val="0"/>
          <w:color w:val="auto"/>
          <w:sz w:val="24"/>
          <w:szCs w:val="24"/>
          <w:u w:val="none"/>
        </w:rPr>
        <w:t>高优先级风险（数据越权访问、AI 覆盖正式文档、事实抽取错误）：采用系统硬限制机制，从底层功能阻断风险发生，定期开展内审核查；</w:t>
      </w:r>
    </w:p>
    <w:p w14:paraId="3935720F">
      <w:pPr>
        <w:widowControl w:val="0"/>
        <w:numPr>
          <w:ilvl w:val="0"/>
          <w:numId w:val="6"/>
        </w:numPr>
        <w:spacing w:before="0" w:after="120" w:line="360" w:lineRule="auto"/>
        <w:ind w:left="425" w:leftChars="0" w:hanging="425" w:firstLineChars="0"/>
        <w:jc w:val="both"/>
        <w:rPr>
          <w:rFonts w:hint="default" w:ascii="Times New Roman" w:hAnsi="Times New Roman" w:eastAsia="仿宋_GB2312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中优先级风险（语义冲突漏检、历史错误知识复用、法规规则误匹配）：自动化校验 + 人工抽检双管控，月度复盘优化模型校验能力；</w:t>
      </w:r>
    </w:p>
    <w:p w14:paraId="4BF66E36">
      <w:pPr>
        <w:widowControl w:val="0"/>
        <w:numPr>
          <w:ilvl w:val="0"/>
          <w:numId w:val="6"/>
        </w:numPr>
        <w:spacing w:before="0" w:after="120" w:line="360" w:lineRule="auto"/>
        <w:ind w:left="425" w:leftChars="0" w:hanging="425" w:firstLineChars="0"/>
        <w:jc w:val="both"/>
        <w:rPr>
          <w:rFonts w:hint="default" w:ascii="Times New Roman" w:hAnsi="Times New Roman" w:eastAsia="仿宋_GB2312" w:cs="Times New Roman"/>
          <w:sz w:val="24"/>
          <w:szCs w:val="24"/>
        </w:rPr>
      </w:pPr>
      <w:r>
        <w:rPr>
          <w:rFonts w:hint="default" w:ascii="Times New Roman" w:hAnsi="Times New Roman" w:eastAsia="仿宋_GB2312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低优先级风险（人员过度依赖 AI、推广使用率不足）：通过培训、使用提示、产品迭代优化引导，持续收集业务反馈优化体验。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DAAA55"/>
    <w:multiLevelType w:val="singleLevel"/>
    <w:tmpl w:val="8FDAAA5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9922A72"/>
    <w:multiLevelType w:val="singleLevel"/>
    <w:tmpl w:val="A9922A7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E25726A"/>
    <w:multiLevelType w:val="singleLevel"/>
    <w:tmpl w:val="CE2572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7921505"/>
    <w:multiLevelType w:val="singleLevel"/>
    <w:tmpl w:val="27921505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3D594CCC"/>
    <w:multiLevelType w:val="singleLevel"/>
    <w:tmpl w:val="3D594CCC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79E5138E"/>
    <w:multiLevelType w:val="singleLevel"/>
    <w:tmpl w:val="79E5138E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2C73C0"/>
    <w:rsid w:val="0E2C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2026-07-17T12:09:00Z</dcterms:created>
  <dc:creator>张欣怡</dc:creator>
  <cp:lastModifiedBy>张欣怡</cp:lastModifiedBy>
  <dcterms:modified xsi:type="dcterms:W3CDTF">2026-07-17T12:15:27Z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7EA8318B6B9D4F778ACEB8F85E3EB9BA_11</vt:lpwstr>
  </property>
  <property fmtid="{D5CDD505-2E9C-101B-9397-08002B2CF9AE}" pid="4" name="KSOTemplateDocerSaveRecord">
    <vt:lpwstr>eyJoZGlkIjoiZjFmZWIzNDg2MmIzZjExOTIzMmViNTBmYTMwYTk0ZWYiLCJ1c2VySWQiOiIxNjY3Mzg4MjM3In0=</vt:lpwstr>
  </property>
</Properties>
</file>