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9E77C">
      <w:pPr>
        <w:pStyle w:val="31"/>
        <w:jc w:val="center"/>
      </w:pPr>
      <w:r>
        <w:t>TrialCompiler 项目完整参考文献</w:t>
      </w:r>
    </w:p>
    <w:p w14:paraId="521BC53D">
      <w:pPr>
        <w:pStyle w:val="26"/>
        <w:jc w:val="center"/>
      </w:pPr>
      <w:r>
        <w:t>法规 · 临床文件 · 数据标准 · AI方法 · 不确定性与可解释性 · 行业证据</w:t>
      </w:r>
    </w:p>
    <w:p w14:paraId="5B90627F">
      <w:pPr>
        <w:jc w:val="center"/>
      </w:pPr>
      <w:r>
        <w:rPr>
          <w:rFonts w:ascii="Aptos" w:hAnsi="Aptos" w:eastAsia="等线"/>
          <w:b/>
          <w:color w:val="1F4D78"/>
          <w:sz w:val="20"/>
        </w:rPr>
        <w:t>规范化来源 208 条  |  按主题分类并保留原始链接</w:t>
      </w:r>
    </w:p>
    <w:p w14:paraId="0410CE3C">
      <w:pPr>
        <w:pStyle w:val="3"/>
      </w:pPr>
      <w:r>
        <w:t>引用与证据边界</w:t>
      </w:r>
    </w:p>
    <w:p w14:paraId="0D30DC55">
      <w:pPr>
        <w:pStyle w:val="16"/>
        <w:spacing w:after="80"/>
        <w:ind w:left="540" w:hanging="271"/>
      </w:pPr>
      <w:r>
        <w:t>法规、伦理、统计与文件要求优先引用监管机构、国际标准组织及正式指南的原始页面。</w:t>
      </w:r>
    </w:p>
    <w:p w14:paraId="49D3C025">
      <w:pPr>
        <w:pStyle w:val="16"/>
        <w:spacing w:after="80"/>
        <w:ind w:left="540" w:hanging="271"/>
      </w:pPr>
      <w:r>
        <w:t>人工智能、不确定性与可解释性方法引用原始论文、会议或正式出版页面。</w:t>
      </w:r>
    </w:p>
    <w:p w14:paraId="3F918060">
      <w:pPr>
        <w:pStyle w:val="16"/>
        <w:spacing w:after="80"/>
        <w:ind w:left="540" w:hanging="271"/>
      </w:pPr>
      <w:r>
        <w:t>厂商材料只支持功能和市场比较，不支持监管合规或临床有效性结论。</w:t>
      </w:r>
    </w:p>
    <w:p w14:paraId="43D8E8BD">
      <w:pPr>
        <w:pStyle w:val="16"/>
        <w:spacing w:after="80"/>
        <w:ind w:left="540" w:hanging="271"/>
      </w:pPr>
      <w:r>
        <w:t>ClinicalTrials.gov登记和公开附件在本项目评测中作为冻结正确基线；受控变异副本才是缺陷正例。</w:t>
      </w:r>
    </w:p>
    <w:p w14:paraId="280E9781">
      <w:pPr>
        <w:pStyle w:val="16"/>
        <w:spacing w:after="80"/>
        <w:ind w:left="540" w:hanging="271"/>
      </w:pPr>
      <w:r>
        <w:t>INTERNAL材料只记录项目形成过程，不作为外部事实依据。</w:t>
      </w:r>
    </w:p>
    <w:p w14:paraId="40AC960A">
      <w:pPr>
        <w:pStyle w:val="3"/>
      </w:pPr>
      <w:r>
        <w:t>法规、监管指南与研究伦理</w:t>
      </w:r>
    </w:p>
    <w:p w14:paraId="7C583A4C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1. [CN-001] 药物临床试验质量管理规范 2020. </w:t>
      </w:r>
      <w:r>
        <w:rPr>
          <w:rFonts w:ascii="Aptos" w:hAnsi="Aptos" w:eastAsia="等线"/>
          <w:b w:val="0"/>
          <w:sz w:val="21"/>
        </w:rPr>
        <w:t>NMPA and National Health Commission, 2020。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"https://www.nmpa.gov.cn/xxgk/fgwj/xzhgfxwj/20200426162401243.html" \h </w:instrText>
      </w:r>
      <w:r>
        <w:fldChar w:fldCharType="separate"/>
      </w:r>
      <w:r>
        <w:rPr>
          <w:color w:val="2E74B5"/>
          <w:u w:val="single"/>
        </w:rPr>
        <w:t>https://www.nmpa.gov.cn/xxgk/fgwj/xzhgfxwj/20200426162401243.html</w:t>
      </w:r>
      <w:r>
        <w:rPr>
          <w:color w:val="2E74B5"/>
          <w:u w:val="single"/>
        </w:rPr>
        <w:fldChar w:fldCharType="end"/>
      </w:r>
    </w:p>
    <w:p w14:paraId="38D4538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Chinese GCP baseline for clinical trial quality and protocol governance</w:t>
      </w:r>
    </w:p>
    <w:p w14:paraId="152EB714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2. [CN-002] 药物临床试验质量管理规范 2026年修订. </w:t>
      </w:r>
      <w:r>
        <w:rPr>
          <w:rFonts w:ascii="Aptos" w:hAnsi="Aptos" w:eastAsia="等线"/>
          <w:b w:val="0"/>
          <w:sz w:val="21"/>
        </w:rPr>
        <w:t>NMPA and NHC and NATCM and NCDC,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"https://www.nmpa.gov.cn/xxgk/fgwj/xzhgfxwj/20260608103856150.html" \h </w:instrText>
      </w:r>
      <w:r>
        <w:fldChar w:fldCharType="separate"/>
      </w:r>
      <w:r>
        <w:rPr>
          <w:color w:val="2E74B5"/>
          <w:u w:val="single"/>
        </w:rPr>
        <w:t>https://www.nmpa.gov.cn/xxgk/fgwj/xzhgfxwj/20260608103856150.html</w:t>
      </w:r>
      <w:r>
        <w:rPr>
          <w:color w:val="2E74B5"/>
          <w:u w:val="single"/>
        </w:rPr>
        <w:fldChar w:fldCharType="end"/>
      </w:r>
    </w:p>
    <w:p w14:paraId="6BD4B39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Latest public Chinese GCP revision and quality responsibility context</w:t>
      </w:r>
    </w:p>
    <w:p w14:paraId="681B562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3. [CN-003] 药物临床试验数据管理与统计分析计划指导原则. </w:t>
      </w:r>
      <w:r>
        <w:rPr>
          <w:rFonts w:ascii="Aptos" w:hAnsi="Aptos" w:eastAsia="等线"/>
          <w:b w:val="0"/>
          <w:sz w:val="21"/>
        </w:rPr>
        <w:t>CDE, 2021。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"https://www.cde.org.cn/main/att/download/7da62eab6c2d93cb350048a1f507d348" \h </w:instrText>
      </w:r>
      <w:r>
        <w:fldChar w:fldCharType="separate"/>
      </w:r>
      <w:r>
        <w:rPr>
          <w:color w:val="2E74B5"/>
          <w:u w:val="single"/>
        </w:rPr>
        <w:t>https://www.cde.org.cn/main/att/download/7da62eab6c2d93cb350048a1f507d348</w:t>
      </w:r>
      <w:r>
        <w:rPr>
          <w:color w:val="2E74B5"/>
          <w:u w:val="single"/>
        </w:rPr>
        <w:fldChar w:fldCharType="end"/>
      </w:r>
    </w:p>
    <w:p w14:paraId="3224876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Chinese source for data management plan and SAP structure after protocol confirmation</w:t>
      </w:r>
    </w:p>
    <w:p w14:paraId="25E40C8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4. [CN-004] 药物临床试验期间方案变更技术指导原则试行. </w:t>
      </w:r>
      <w:r>
        <w:rPr>
          <w:rFonts w:ascii="Aptos" w:hAnsi="Aptos" w:eastAsia="等线"/>
          <w:b w:val="0"/>
          <w:sz w:val="21"/>
        </w:rPr>
        <w:t>CDE, 2022。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harmwyp.com/posts/56814/3.%E4%B8%B4%E5%BA%8A%E8%AF%95%E9%AA%8C%E5%AE%9E%E6%96%BD/3.4%E8%AF%95%E9%AA%8C%E7%AC%A6%E5%90%88%E6%80%A7/20220623_CDE_%E5%85%B3%E4%BA%8E%E5%8F%91%E5%B8%83%E3%80%8A%E8%8D%AF%E7%89%A9%E4%B8%B4%E5%BA%8A%E8%AF%95%E9%AA%8C%E6%9C%9F%E9%97%B4%E6%96%B9%E6%A1%88%E5%8F%98%E6%9B%B4%E6%8A%80%E6%9C%AF%E6%8C%87%E5%AF%BC%E5%8E%9F%E5%88%99%EF%BC%88%E8%AF%95%E8%A1%8C%EF%BC%89%E3%80%8B%E7%9A%84%E9%80%9A%E5%91%8A%EF%BC%882022%E5%B9%B4%E7%AC%AC34%E5%8F%B7%EF%BC%89.pdf" \h </w:instrText>
      </w:r>
      <w:r>
        <w:fldChar w:fldCharType="separate"/>
      </w:r>
      <w:r>
        <w:rPr>
          <w:color w:val="2E74B5"/>
          <w:u w:val="single"/>
        </w:rPr>
        <w:t>https://pharmwyp.com/posts/56814/3.%E4%B8%B4%E5%BA%8A%E8%AF%95%E9%AA%8C%E5%AE%9E%E6%96%BD/3.4%E8%AF%95%E9%AA%8C%E7%AC%A6%E5%90%88%E6%80%A7/20220623_CDE_%E5%85%B3%E4%BA%8E%E5%8F%91%E5%B8%83%E3%80%8A%E8%8D%AF%E7%89%A9%E4%B8%B4%E5%BA%8A%E8%AF%95%E9%AA%8C%E6%9C%9F%E9%97%B4%E6%96%B9%E6%A1%88%E5%8F%98%E6%9B%B4%E6%8A%80%E6%9C%AF%E6%8C%87%E5%AF%BC%E5%8E%9F%E5%88%99%EF%BC%88%E8%AF%95%E8%A1%8C%EF%BC%89%E3%80%8B%E7%9A%84%E9%80%9A%E5%91%8A%EF%BC%882022%E5%B9%B4%E7%AC%AC34%E5%8F%B7%EF%BC%89.pdf</w:t>
      </w:r>
      <w:r>
        <w:rPr>
          <w:color w:val="2E74B5"/>
          <w:u w:val="single"/>
        </w:rPr>
        <w:fldChar w:fldCharType="end"/>
      </w:r>
    </w:p>
    <w:p w14:paraId="746071B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Chinese source for protocol amendment scenarios and assessment points</w:t>
      </w:r>
    </w:p>
    <w:p w14:paraId="61342F2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5. [CN-005] CDE发布药物临床试验期间方案变更技术指导原则试行. </w:t>
      </w:r>
      <w:r>
        <w:rPr>
          <w:rFonts w:ascii="Aptos" w:hAnsi="Aptos" w:eastAsia="等线"/>
          <w:b w:val="0"/>
          <w:sz w:val="21"/>
        </w:rPr>
        <w:t>中国食品药品网, 2022。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"https://m.cnpharm.com/c/2022-06-23/829152.shtml" \h </w:instrText>
      </w:r>
      <w:r>
        <w:fldChar w:fldCharType="separate"/>
      </w:r>
      <w:r>
        <w:rPr>
          <w:color w:val="2E74B5"/>
          <w:u w:val="single"/>
        </w:rPr>
        <w:t>https://m.cnpharm.com/c/2022-06-23/829152.shtml</w:t>
      </w:r>
      <w:r>
        <w:rPr>
          <w:color w:val="2E74B5"/>
          <w:u w:val="single"/>
        </w:rPr>
        <w:fldChar w:fldCharType="end"/>
      </w:r>
    </w:p>
    <w:p w14:paraId="7E1EC79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CDE announcement text and access path for protocol amendment guidance</w:t>
      </w:r>
    </w:p>
    <w:p w14:paraId="6FF4349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6. [CN-006] CDE发布药物临床试验数据管理与统计分析计划指导原则. </w:t>
      </w:r>
      <w:r>
        <w:rPr>
          <w:rFonts w:ascii="Aptos" w:hAnsi="Aptos" w:eastAsia="等线"/>
          <w:b w:val="0"/>
          <w:sz w:val="21"/>
        </w:rPr>
        <w:t>中国食品药品网, 2022。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"https://m.cnpharm.com/c/2022-01-04/814382.shtml" \h </w:instrText>
      </w:r>
      <w:r>
        <w:fldChar w:fldCharType="separate"/>
      </w:r>
      <w:r>
        <w:rPr>
          <w:color w:val="2E74B5"/>
          <w:u w:val="single"/>
        </w:rPr>
        <w:t>https://m.cnpharm.com/c/2022-01-04/814382.shtml</w:t>
      </w:r>
      <w:r>
        <w:rPr>
          <w:color w:val="2E74B5"/>
          <w:u w:val="single"/>
        </w:rPr>
        <w:fldChar w:fldCharType="end"/>
      </w:r>
    </w:p>
    <w:p w14:paraId="0E180B6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CDE announcement text and access path for data management and SAP guidance</w:t>
      </w:r>
    </w:p>
    <w:p w14:paraId="4DE20F6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7. [GOV-004] Artificial Intelligence for Drug Development. </w:t>
      </w:r>
      <w:r>
        <w:rPr>
          <w:rFonts w:ascii="Aptos" w:hAnsi="Aptos" w:eastAsia="等线"/>
          <w:b w:val="0"/>
          <w:sz w:val="21"/>
        </w:rPr>
        <w:t>US FDA,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"https://www.fda.gov/about-fda/center-drug-evaluation-and-research-cder/artificial-intelligence-drug-development" \h </w:instrText>
      </w:r>
      <w:r>
        <w:fldChar w:fldCharType="separate"/>
      </w:r>
      <w:r>
        <w:rPr>
          <w:color w:val="2E74B5"/>
          <w:u w:val="single"/>
        </w:rPr>
        <w:t>https://www.fda.gov/about-fda/center-drug-evaluation-and-research-cder/artificial-intelligence-drug-development</w:t>
      </w:r>
      <w:r>
        <w:rPr>
          <w:color w:val="2E74B5"/>
          <w:u w:val="single"/>
        </w:rPr>
        <w:fldChar w:fldCharType="end"/>
      </w:r>
    </w:p>
    <w:p w14:paraId="18CEF206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FDA resource hub for AI in drug development</w:t>
      </w:r>
    </w:p>
    <w:p w14:paraId="1D20526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8. [M1-01] ICH E6(R3) Principles and Annex 1. </w:t>
      </w:r>
      <w:r>
        <w:rPr>
          <w:rFonts w:ascii="Aptos" w:hAnsi="Aptos" w:eastAsia="等线"/>
          <w:b w:val="0"/>
          <w:sz w:val="21"/>
        </w:rPr>
        <w:t>ICH,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"https://database.ich.org/sites/default/files/ICH_E6%28R3%29_Step4_FinalGuideline_2025_0106_ErrorCorrections_2025_1024.pdf" \h </w:instrText>
      </w:r>
      <w:r>
        <w:fldChar w:fldCharType="separate"/>
      </w:r>
      <w:r>
        <w:rPr>
          <w:color w:val="2E74B5"/>
          <w:u w:val="single"/>
        </w:rPr>
        <w:t>https://database.ich.org/sites/default/files/ICH_E6%28R3%29_Step4_FinalGuideline_2025_0106_ErrorCorrections_2025_1024.pdf</w:t>
      </w:r>
      <w:r>
        <w:rPr>
          <w:color w:val="2E74B5"/>
          <w:u w:val="single"/>
        </w:rPr>
        <w:fldChar w:fldCharType="end"/>
      </w:r>
    </w:p>
    <w:p w14:paraId="44D45F8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GCP核心；覆盖方案、质量管理、数据治理和研究者/申办者职责</w:t>
      </w:r>
    </w:p>
    <w:p w14:paraId="407FE23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9. [M1-02] ICH E6(R3) Annex 2. </w:t>
      </w:r>
      <w:r>
        <w:rPr>
          <w:rFonts w:ascii="Aptos" w:hAnsi="Aptos" w:eastAsia="等线"/>
          <w:b w:val="0"/>
          <w:sz w:val="21"/>
        </w:rPr>
        <w:t>ICH,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"https://database.ich.org/sites/default/files/ICH_E6%28R3%29_Annex%202_Guideline_Step%204_2026_0603_0.pdf" \h </w:instrText>
      </w:r>
      <w:r>
        <w:fldChar w:fldCharType="separate"/>
      </w:r>
      <w:r>
        <w:rPr>
          <w:color w:val="2E74B5"/>
          <w:u w:val="single"/>
        </w:rPr>
        <w:t>https://database.ich.org/sites/default/files/ICH_E6%28R3%29_Annex%202_Guideline_Step%204_2026_0603_0.pdf</w:t>
      </w:r>
      <w:r>
        <w:rPr>
          <w:color w:val="2E74B5"/>
          <w:u w:val="single"/>
        </w:rPr>
        <w:fldChar w:fldCharType="end"/>
      </w:r>
    </w:p>
    <w:p w14:paraId="0B9BDC9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去中心化、真实世界数据等新型试验设计的GCP补充</w:t>
      </w:r>
    </w:p>
    <w:p w14:paraId="59A68B7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10. [M1-03] ICH E8(R1) General Considerations for Clinical Studies. </w:t>
      </w:r>
      <w:r>
        <w:rPr>
          <w:rFonts w:ascii="Aptos" w:hAnsi="Aptos" w:eastAsia="等线"/>
          <w:b w:val="0"/>
          <w:sz w:val="21"/>
        </w:rPr>
        <w:t>ICH, 2021。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"https://database.ich.org/sites/default/files/ICH_E8-R1_Guideline_Step4_2021_1006.pdf" \h </w:instrText>
      </w:r>
      <w:r>
        <w:fldChar w:fldCharType="separate"/>
      </w:r>
      <w:r>
        <w:rPr>
          <w:color w:val="2E74B5"/>
          <w:u w:val="single"/>
        </w:rPr>
        <w:t>https://database.ich.org/sites/default/files/ICH_E8-R1_Guideline_Step4_2021_1006.pdf</w:t>
      </w:r>
      <w:r>
        <w:rPr>
          <w:color w:val="2E74B5"/>
          <w:u w:val="single"/>
        </w:rPr>
        <w:fldChar w:fldCharType="end"/>
      </w:r>
    </w:p>
    <w:p w14:paraId="529282C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质量源于设计、试验目的和关键质量因素</w:t>
      </w:r>
    </w:p>
    <w:p w14:paraId="6A1D308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11. [M1-06] ICH E2A Clinical Safety Data Management. </w:t>
      </w:r>
      <w:r>
        <w:rPr>
          <w:rFonts w:ascii="Aptos" w:hAnsi="Aptos" w:eastAsia="等线"/>
          <w:b w:val="0"/>
          <w:sz w:val="21"/>
        </w:rPr>
        <w:t>ICH, 1994。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"https://database.ich.org/sites/default/files/E2A_Guideline.pdf"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https://database.ich.org/sites/default/files/E2A_Guideline.pdf</w:t>
      </w:r>
      <w:r>
        <w:rPr>
          <w:color w:val="2E74B5"/>
          <w:u w:val="single"/>
        </w:rPr>
        <w:fldChar w:fldCharType="end"/>
      </w:r>
    </w:p>
    <w:p w14:paraId="7CBF096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严重不良事件和快速报告定义</w:t>
      </w:r>
    </w:p>
    <w:p w14:paraId="61A911A4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12. [M1-11] Guidance for Best Practices for Clinical Trials. </w:t>
      </w:r>
      <w:r>
        <w:rPr>
          <w:rFonts w:ascii="Aptos" w:hAnsi="Aptos" w:eastAsia="等线"/>
          <w:b w:val="0"/>
          <w:sz w:val="21"/>
        </w:rPr>
        <w:t>WHO,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"https://iris.who.int/bitstream/handle/10665/378782/9789240097711-eng.pdf" \h </w:instrText>
      </w:r>
      <w:r>
        <w:fldChar w:fldCharType="separate"/>
      </w:r>
      <w:r>
        <w:rPr>
          <w:color w:val="2E74B5"/>
          <w:u w:val="single"/>
        </w:rPr>
        <w:t>https://iris.who.int/bitstream/handle/10665/378782/9789240097711-eng.pdf</w:t>
      </w:r>
      <w:r>
        <w:rPr>
          <w:color w:val="2E74B5"/>
          <w:u w:val="single"/>
        </w:rPr>
        <w:fldChar w:fldCharType="end"/>
      </w:r>
    </w:p>
    <w:p w14:paraId="5FC08E4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全球临床试验生态、伦理、监管和注册最佳实践</w:t>
      </w:r>
    </w:p>
    <w:p w14:paraId="07F5F824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13. [M1-12] Declaration of Helsinki 2024. </w:t>
      </w:r>
      <w:r>
        <w:rPr>
          <w:rFonts w:ascii="Aptos" w:hAnsi="Aptos" w:eastAsia="等线"/>
          <w:b w:val="0"/>
          <w:sz w:val="21"/>
        </w:rPr>
        <w:t>WMA,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"https://www.wma.net/wp-content/uploads/2024/11/HB-E-Version-2024.pdf" \h </w:instrText>
      </w:r>
      <w:r>
        <w:fldChar w:fldCharType="separate"/>
      </w:r>
      <w:r>
        <w:rPr>
          <w:color w:val="2E74B5"/>
          <w:u w:val="single"/>
        </w:rPr>
        <w:t>https://www.wma.net/wp-content/uploads/2024/11/HB-E-Version-2024.pdf</w:t>
      </w:r>
      <w:r>
        <w:rPr>
          <w:color w:val="2E74B5"/>
          <w:u w:val="single"/>
        </w:rPr>
        <w:fldChar w:fldCharType="end"/>
      </w:r>
    </w:p>
    <w:p w14:paraId="16F42AE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人体医学研究伦理基本原则</w:t>
      </w:r>
    </w:p>
    <w:p w14:paraId="1461292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14. [M1-13] International Ethical Guidelines for Health-related Research Involving Humans. </w:t>
      </w:r>
      <w:r>
        <w:rPr>
          <w:rFonts w:ascii="Aptos" w:hAnsi="Aptos" w:eastAsia="等线"/>
          <w:b w:val="0"/>
          <w:sz w:val="21"/>
        </w:rPr>
        <w:t>CIOMS/WHO, 2016。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"https://cioms.ch/wp-content/uploads/2017/01/WEB-CIOMS-EthicalGuidelines.pdf" \h </w:instrText>
      </w:r>
      <w:r>
        <w:fldChar w:fldCharType="separate"/>
      </w:r>
      <w:r>
        <w:rPr>
          <w:color w:val="2E74B5"/>
          <w:u w:val="single"/>
        </w:rPr>
        <w:t>https://cioms.ch/wp-content/uploads/2017/01/WEB-CIOMS-EthicalGuidelines.pdf</w:t>
      </w:r>
      <w:r>
        <w:rPr>
          <w:color w:val="2E74B5"/>
          <w:u w:val="single"/>
        </w:rPr>
        <w:fldChar w:fldCharType="end"/>
      </w:r>
    </w:p>
    <w:p w14:paraId="73E80AA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脆弱人群、知情同意、公平性和伦理审查</w:t>
      </w:r>
    </w:p>
    <w:p w14:paraId="1B4FC5F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15. [M1-14] 药物临床试验质量管理规范. </w:t>
      </w:r>
      <w:r>
        <w:rPr>
          <w:rFonts w:ascii="Aptos" w:hAnsi="Aptos" w:eastAsia="等线"/>
          <w:b w:val="0"/>
          <w:sz w:val="21"/>
        </w:rPr>
        <w:t>国家药监局等四部门,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"https://yjj.sh.gov.cn/cmsres/01/019e5e2d868c470f9927c3a9672fc59c/203167cf5e796696423edf05cb8c3174.doc" \h </w:instrText>
      </w:r>
      <w:r>
        <w:fldChar w:fldCharType="separate"/>
      </w:r>
      <w:r>
        <w:rPr>
          <w:color w:val="2E74B5"/>
          <w:u w:val="single"/>
        </w:rPr>
        <w:t>https://yjj.sh.gov.cn/cmsres/01/019e5e2d868c470f9927c3a9672fc59c/203167cf5e796696423edf05cb8c3174.doc</w:t>
      </w:r>
      <w:r>
        <w:rPr>
          <w:color w:val="2E74B5"/>
          <w:u w:val="single"/>
        </w:rPr>
        <w:fldChar w:fldCharType="end"/>
      </w:r>
    </w:p>
    <w:p w14:paraId="18D1A2D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中国GCP核心法规</w:t>
      </w:r>
    </w:p>
    <w:p w14:paraId="757B911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16. [M1-15] 药物临床试验质量管理规范政策问答. </w:t>
      </w:r>
      <w:r>
        <w:rPr>
          <w:rFonts w:ascii="Aptos" w:hAnsi="Aptos" w:eastAsia="等线"/>
          <w:b w:val="0"/>
          <w:sz w:val="21"/>
        </w:rPr>
        <w:t>国家药监局等四部门,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"https://yjj.sh.gov.cn/cmsres/6c/6c38f69ae6a942e684221c90927db3c1/b6bd1d09af642f8f1107a80d3e0a3f59.doc" \h </w:instrText>
      </w:r>
      <w:r>
        <w:fldChar w:fldCharType="separate"/>
      </w:r>
      <w:r>
        <w:rPr>
          <w:color w:val="2E74B5"/>
          <w:u w:val="single"/>
        </w:rPr>
        <w:t>https://yjj.sh.gov.cn/cmsres/6c/6c38f69ae6a942e684221c90927db3c1/b6bd1d09af642f8f1107a80d3e0a3f59.doc</w:t>
      </w:r>
      <w:r>
        <w:rPr>
          <w:color w:val="2E74B5"/>
          <w:u w:val="single"/>
        </w:rPr>
        <w:fldChar w:fldCharType="end"/>
      </w:r>
    </w:p>
    <w:p w14:paraId="001514B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解释新版中国GCP执行要点</w:t>
      </w:r>
    </w:p>
    <w:p w14:paraId="43C98E0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17. [M1-16] SPIRIT 2025 Statement. </w:t>
      </w:r>
      <w:r>
        <w:rPr>
          <w:rFonts w:ascii="Aptos" w:hAnsi="Aptos" w:eastAsia="等线"/>
          <w:b w:val="0"/>
          <w:sz w:val="21"/>
        </w:rPr>
        <w:t>SPIRIT/CONSORT Group; BMJ,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"https://www.bmj.com/content/389/bmj-2024-081477.full.pdf" \h </w:instrText>
      </w:r>
      <w:r>
        <w:fldChar w:fldCharType="separate"/>
      </w:r>
      <w:r>
        <w:rPr>
          <w:color w:val="2E74B5"/>
          <w:u w:val="single"/>
        </w:rPr>
        <w:t>https://www.bmj.com/content/389/bmj-2024-081477.full.pdf</w:t>
      </w:r>
      <w:r>
        <w:rPr>
          <w:color w:val="2E74B5"/>
          <w:u w:val="single"/>
        </w:rPr>
        <w:fldChar w:fldCharType="end"/>
      </w:r>
    </w:p>
    <w:p w14:paraId="35DA1E6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临床试验方案最低报告项目清单</w:t>
      </w:r>
    </w:p>
    <w:p w14:paraId="50864B0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18. [M1-17] SPIRIT 2025 Explanation and Elaboration. </w:t>
      </w:r>
      <w:r>
        <w:rPr>
          <w:rFonts w:ascii="Aptos" w:hAnsi="Aptos" w:eastAsia="等线"/>
          <w:b w:val="0"/>
          <w:sz w:val="21"/>
        </w:rPr>
        <w:t>SPIRIT/CONSORT Group; BMJ,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"https://www.bmj.com/content/bmj/389/bmj-2024-081660.full.pdf" \h </w:instrText>
      </w:r>
      <w:r>
        <w:fldChar w:fldCharType="separate"/>
      </w:r>
      <w:r>
        <w:rPr>
          <w:color w:val="2E74B5"/>
          <w:u w:val="single"/>
        </w:rPr>
        <w:t>https://www.bmj.com/content/bmj/389/bmj-2024-081660.full.pdf</w:t>
      </w:r>
      <w:r>
        <w:rPr>
          <w:color w:val="2E74B5"/>
          <w:u w:val="single"/>
        </w:rPr>
        <w:fldChar w:fldCharType="end"/>
      </w:r>
    </w:p>
    <w:p w14:paraId="7C69B0C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SPIRIT逐条解释、示例和操作依据</w:t>
      </w:r>
    </w:p>
    <w:p w14:paraId="26383E6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19. [M1-18] CONSORT 2025 Statement. </w:t>
      </w:r>
      <w:r>
        <w:rPr>
          <w:rFonts w:ascii="Aptos" w:hAnsi="Aptos" w:eastAsia="等线"/>
          <w:b w:val="0"/>
          <w:sz w:val="21"/>
        </w:rPr>
        <w:t>SPIRIT/CONSORT Group; BMJ,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"https://www.bmj.com/content/389/bmj-2024-081123.full.pdf" \h </w:instrText>
      </w:r>
      <w:r>
        <w:fldChar w:fldCharType="separate"/>
      </w:r>
      <w:r>
        <w:rPr>
          <w:color w:val="2E74B5"/>
          <w:u w:val="single"/>
        </w:rPr>
        <w:t>https://www.bmj.com/content/389/bmj-2024-081123.full.pdf</w:t>
      </w:r>
      <w:r>
        <w:rPr>
          <w:color w:val="2E74B5"/>
          <w:u w:val="single"/>
        </w:rPr>
        <w:fldChar w:fldCharType="end"/>
      </w:r>
    </w:p>
    <w:p w14:paraId="234692D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随机对照试验结果报告清单</w:t>
      </w:r>
    </w:p>
    <w:p w14:paraId="76EA297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20. [M1-19] CONSORT 2025 Explanation and Elaboration. </w:t>
      </w:r>
      <w:r>
        <w:rPr>
          <w:rFonts w:ascii="Aptos" w:hAnsi="Aptos" w:eastAsia="等线"/>
          <w:b w:val="0"/>
          <w:sz w:val="21"/>
        </w:rPr>
        <w:t>SPIRIT/CONSORT Group; BMJ,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"https://www.bmj.com/content/389/bmj-2024-081124.full.pdf" \h </w:instrText>
      </w:r>
      <w:r>
        <w:fldChar w:fldCharType="separate"/>
      </w:r>
      <w:r>
        <w:rPr>
          <w:color w:val="2E74B5"/>
          <w:u w:val="single"/>
        </w:rPr>
        <w:t>https://www.bmj.com/content/389/bmj-2024-081124.full.pdf</w:t>
      </w:r>
      <w:r>
        <w:rPr>
          <w:color w:val="2E74B5"/>
          <w:u w:val="single"/>
        </w:rPr>
        <w:fldChar w:fldCharType="end"/>
      </w:r>
    </w:p>
    <w:p w14:paraId="7A7E182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CONSORT逐条解释和实例</w:t>
      </w:r>
    </w:p>
    <w:p w14:paraId="6BEF634C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21. [M2-01] Adaptive Designs for Clinical Trials of Drugs and Biologics. </w:t>
      </w:r>
      <w:r>
        <w:rPr>
          <w:rFonts w:ascii="Aptos" w:hAnsi="Aptos" w:eastAsia="等线"/>
          <w:b w:val="0"/>
          <w:sz w:val="21"/>
        </w:rPr>
        <w:t>FDA, 2019。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"https://www.fda.gov/media/78495/download" \h </w:instrText>
      </w:r>
      <w:r>
        <w:fldChar w:fldCharType="separate"/>
      </w:r>
      <w:r>
        <w:rPr>
          <w:color w:val="2E74B5"/>
          <w:u w:val="single"/>
        </w:rPr>
        <w:t>https://www.fda.gov/media/78495/download</w:t>
      </w:r>
      <w:r>
        <w:rPr>
          <w:color w:val="2E74B5"/>
          <w:u w:val="single"/>
        </w:rPr>
        <w:fldChar w:fldCharType="end"/>
      </w:r>
    </w:p>
    <w:p w14:paraId="5759536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自适应设计原则、模拟与操作偏倚控制</w:t>
      </w:r>
    </w:p>
    <w:p w14:paraId="55E9E3F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22. [M2-02] Enrichment Strategies for Clinical Trials. </w:t>
      </w:r>
      <w:r>
        <w:rPr>
          <w:rFonts w:ascii="Aptos" w:hAnsi="Aptos" w:eastAsia="等线"/>
          <w:b w:val="0"/>
          <w:sz w:val="21"/>
        </w:rPr>
        <w:t>FDA, 2019。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"https://www.fda.gov/media/121320/download" \h </w:instrText>
      </w:r>
      <w:r>
        <w:fldChar w:fldCharType="separate"/>
      </w:r>
      <w:r>
        <w:rPr>
          <w:color w:val="2E74B5"/>
          <w:u w:val="single"/>
        </w:rPr>
        <w:t>https://www.fda.gov/media/121320/download</w:t>
      </w:r>
      <w:r>
        <w:rPr>
          <w:color w:val="2E74B5"/>
          <w:u w:val="single"/>
        </w:rPr>
        <w:fldChar w:fldCharType="end"/>
      </w:r>
    </w:p>
    <w:p w14:paraId="771BE8CD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富集设计、入组人群选择与获益风险</w:t>
      </w:r>
    </w:p>
    <w:p w14:paraId="75A72A9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23. [M2-03] Adjusting for Covariates in Randomized Clinical Trials. </w:t>
      </w:r>
      <w:r>
        <w:rPr>
          <w:rFonts w:ascii="Aptos" w:hAnsi="Aptos" w:eastAsia="等线"/>
          <w:b w:val="0"/>
          <w:sz w:val="21"/>
        </w:rPr>
        <w:t>FDA, 2023。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"https://www.fda.gov/media/168507/download" \h </w:instrText>
      </w:r>
      <w:r>
        <w:fldChar w:fldCharType="separate"/>
      </w:r>
      <w:r>
        <w:rPr>
          <w:color w:val="2E74B5"/>
          <w:u w:val="single"/>
        </w:rPr>
        <w:t>https://www.fda.gov/media/168507/download</w:t>
      </w:r>
      <w:r>
        <w:rPr>
          <w:color w:val="2E74B5"/>
          <w:u w:val="single"/>
        </w:rPr>
        <w:fldChar w:fldCharType="end"/>
      </w:r>
    </w:p>
    <w:p w14:paraId="162DD1E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协变量预设、效率提升和统计分析</w:t>
      </w:r>
    </w:p>
    <w:p w14:paraId="5EAF4A5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24. [M2-04] Conducting Clinical Trials With Decentralized Elements. </w:t>
      </w:r>
      <w:r>
        <w:rPr>
          <w:rFonts w:ascii="Aptos" w:hAnsi="Aptos" w:eastAsia="等线"/>
          <w:b w:val="0"/>
          <w:sz w:val="21"/>
        </w:rPr>
        <w:t>FDA,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"https://www.fda.gov/media/167696/download" \h </w:instrText>
      </w:r>
      <w:r>
        <w:fldChar w:fldCharType="separate"/>
      </w:r>
      <w:r>
        <w:rPr>
          <w:color w:val="2E74B5"/>
          <w:u w:val="single"/>
        </w:rPr>
        <w:t>https://www.fda.gov/media/167696/download</w:t>
      </w:r>
      <w:r>
        <w:rPr>
          <w:color w:val="2E74B5"/>
          <w:u w:val="single"/>
        </w:rPr>
        <w:fldChar w:fldCharType="end"/>
      </w:r>
    </w:p>
    <w:p w14:paraId="65C3E4BC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远程访视、数字工具、本地服务与数据质量</w:t>
      </w:r>
    </w:p>
    <w:p w14:paraId="5028419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25. [M2-05] Protocol Deviations for Clinical Investigations. </w:t>
      </w:r>
      <w:r>
        <w:rPr>
          <w:rFonts w:ascii="Aptos" w:hAnsi="Aptos" w:eastAsia="等线"/>
          <w:b w:val="0"/>
          <w:sz w:val="21"/>
        </w:rPr>
        <w:t>FDA,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"https://www.fda.gov/media/184745/download" \h </w:instrText>
      </w:r>
      <w:r>
        <w:fldChar w:fldCharType="separate"/>
      </w:r>
      <w:r>
        <w:rPr>
          <w:color w:val="2E74B5"/>
          <w:u w:val="single"/>
        </w:rPr>
        <w:t>https://www.fda.gov/media/184745/download</w:t>
      </w:r>
      <w:r>
        <w:rPr>
          <w:color w:val="2E74B5"/>
          <w:u w:val="single"/>
        </w:rPr>
        <w:fldChar w:fldCharType="end"/>
      </w:r>
    </w:p>
    <w:p w14:paraId="6057EF8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偏离分类、报告和预防性管理</w:t>
      </w:r>
    </w:p>
    <w:p w14:paraId="5CDE3204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26. [M2-06] Use of Bayesian Methodology in Clinical Trials. </w:t>
      </w:r>
      <w:r>
        <w:rPr>
          <w:rFonts w:ascii="Aptos" w:hAnsi="Aptos" w:eastAsia="等线"/>
          <w:b w:val="0"/>
          <w:sz w:val="21"/>
        </w:rPr>
        <w:t>FDA,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"https://www.fda.gov/media/190505/download" \h </w:instrText>
      </w:r>
      <w:r>
        <w:fldChar w:fldCharType="separate"/>
      </w:r>
      <w:r>
        <w:rPr>
          <w:color w:val="2E74B5"/>
          <w:u w:val="single"/>
        </w:rPr>
        <w:t>https://www.fda.gov/media/190505/download</w:t>
      </w:r>
      <w:r>
        <w:rPr>
          <w:color w:val="2E74B5"/>
          <w:u w:val="single"/>
        </w:rPr>
        <w:fldChar w:fldCharType="end"/>
      </w:r>
    </w:p>
    <w:p w14:paraId="5B3FC69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贝叶斯设计、先验信息和操作特征</w:t>
      </w:r>
    </w:p>
    <w:p w14:paraId="47B7A1E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27. [M2-07] ICH E10 Choice of Control Group and Related Issues. </w:t>
      </w:r>
      <w:r>
        <w:rPr>
          <w:rFonts w:ascii="Aptos" w:hAnsi="Aptos" w:eastAsia="等线"/>
          <w:b w:val="0"/>
          <w:sz w:val="21"/>
        </w:rPr>
        <w:t>ICH, 2000。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"https://database.ich.org/sites/default/files/E10_Guideline.pdf"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https://database.ich.org/sites/default/files/E10_Guideline.pdf</w:t>
      </w:r>
      <w:r>
        <w:rPr>
          <w:color w:val="2E74B5"/>
          <w:u w:val="single"/>
        </w:rPr>
        <w:fldChar w:fldCharType="end"/>
      </w:r>
    </w:p>
    <w:p w14:paraId="00D28596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对照组选择、优效/非劣效及伦理考虑</w:t>
      </w:r>
    </w:p>
    <w:p w14:paraId="2748F00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28. [M2-09] ICH E4 Dose-Response Information to Support Drug Registration. </w:t>
      </w:r>
      <w:r>
        <w:rPr>
          <w:rFonts w:ascii="Aptos" w:hAnsi="Aptos" w:eastAsia="等线"/>
          <w:b w:val="0"/>
          <w:sz w:val="21"/>
        </w:rPr>
        <w:t>ICH, 1994。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"https://database.ich.org/sites/default/files/E4_Guideline.pdf"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https://database.ich.org/sites/default/files/E4_Guideline.pdf</w:t>
      </w:r>
      <w:r>
        <w:rPr>
          <w:color w:val="2E74B5"/>
          <w:u w:val="single"/>
        </w:rPr>
        <w:fldChar w:fldCharType="end"/>
      </w:r>
    </w:p>
    <w:p w14:paraId="0B5248A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剂量探索、剂量-反应设计与分析</w:t>
      </w:r>
    </w:p>
    <w:p w14:paraId="4DDF34A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29. [M2-10] ICH E5(R1) Ethnic Factors in Acceptability of Foreign Clinical Data. </w:t>
      </w:r>
      <w:r>
        <w:rPr>
          <w:rFonts w:ascii="Aptos" w:hAnsi="Aptos" w:eastAsia="等线"/>
          <w:b w:val="0"/>
          <w:sz w:val="21"/>
        </w:rPr>
        <w:t>ICH, 1998。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"https://database.ich.org/sites/default/files/E5_R1__Guideline.pdf"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https://database.ich.org/sites/default/files/E5_R1__Guideline.pdf</w:t>
      </w:r>
      <w:r>
        <w:rPr>
          <w:color w:val="2E74B5"/>
          <w:u w:val="single"/>
        </w:rPr>
        <w:fldChar w:fldCharType="end"/>
      </w:r>
    </w:p>
    <w:p w14:paraId="65BEB40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桥接研究和种族因素评估</w:t>
      </w:r>
    </w:p>
    <w:p w14:paraId="527F08C3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30. [M2-11] ICH E7 Studies in Support of Special Populations: Geriatrics. </w:t>
      </w:r>
      <w:r>
        <w:rPr>
          <w:rFonts w:ascii="Aptos" w:hAnsi="Aptos" w:eastAsia="等线"/>
          <w:b w:val="0"/>
          <w:sz w:val="21"/>
        </w:rPr>
        <w:t>ICH, 1993。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"https://database.ich.org/sites/default/files/E7_Guideline.pdf"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https://database.ich.org/sites/default/files/E7_Guideline.pdf</w:t>
      </w:r>
      <w:r>
        <w:rPr>
          <w:color w:val="2E74B5"/>
          <w:u w:val="single"/>
        </w:rPr>
        <w:fldChar w:fldCharType="end"/>
      </w:r>
    </w:p>
    <w:p w14:paraId="305E80C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老年人群代表性、安全性与剂量研究</w:t>
      </w:r>
    </w:p>
    <w:p w14:paraId="7171DF4C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31. [M2-12] ICH E11(R1) Clinical Investigation in the Pediatric Population. </w:t>
      </w:r>
      <w:r>
        <w:rPr>
          <w:rFonts w:ascii="Aptos" w:hAnsi="Aptos" w:eastAsia="等线"/>
          <w:b w:val="0"/>
          <w:sz w:val="21"/>
        </w:rPr>
        <w:t>ICH, 2017。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"https://database.ich.org/sites/default/files/E11_R1_Guideline.pdf"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https://database.ich.org/sites/default/files/E11_R1_Guideline.pdf</w:t>
      </w:r>
      <w:r>
        <w:rPr>
          <w:color w:val="2E74B5"/>
          <w:u w:val="single"/>
        </w:rPr>
        <w:fldChar w:fldCharType="end"/>
      </w:r>
    </w:p>
    <w:p w14:paraId="735EE50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儿童临床开发与伦理、年龄分层和研究设计</w:t>
      </w:r>
    </w:p>
    <w:p w14:paraId="3830DF5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32. [M2-13] ICH E11A Pediatric Extrapolation. </w:t>
      </w:r>
      <w:r>
        <w:rPr>
          <w:rFonts w:ascii="Aptos" w:hAnsi="Aptos" w:eastAsia="等线"/>
          <w:b w:val="0"/>
          <w:sz w:val="21"/>
        </w:rPr>
        <w:t>ICH,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"https://database.ich.org/sites/default/files/ICH_E11A_Guideline_Step4_2024_0821.pdf" \h </w:instrText>
      </w:r>
      <w:r>
        <w:fldChar w:fldCharType="separate"/>
      </w:r>
      <w:r>
        <w:rPr>
          <w:color w:val="2E74B5"/>
          <w:u w:val="single"/>
        </w:rPr>
        <w:t>https://database.ich.org/sites/default/files/ICH_E11A_Guideline_Step4_2024_0821.pdf</w:t>
      </w:r>
      <w:r>
        <w:rPr>
          <w:color w:val="2E74B5"/>
          <w:u w:val="single"/>
        </w:rPr>
        <w:fldChar w:fldCharType="end"/>
      </w:r>
    </w:p>
    <w:p w14:paraId="7860BD6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儿童外推计划、证据整合和不确定性处理</w:t>
      </w:r>
    </w:p>
    <w:p w14:paraId="671E8DB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33. [M2-14] ICH E18 Genomic Sampling and Management of Genomic Data. </w:t>
      </w:r>
      <w:r>
        <w:rPr>
          <w:rFonts w:ascii="Aptos" w:hAnsi="Aptos" w:eastAsia="等线"/>
          <w:b w:val="0"/>
          <w:sz w:val="21"/>
        </w:rPr>
        <w:t>ICH, 2017。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"https://database.ich.org/sites/default/files/E18_Guideline.pdf"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https://database.ich.org/sites/default/files/E18_Guideline.pdf</w:t>
      </w:r>
      <w:r>
        <w:rPr>
          <w:color w:val="2E74B5"/>
          <w:u w:val="single"/>
        </w:rPr>
        <w:fldChar w:fldCharType="end"/>
      </w:r>
    </w:p>
    <w:p w14:paraId="3E821A4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基因组样本、数据、隐私和知情同意</w:t>
      </w:r>
    </w:p>
    <w:p w14:paraId="547C5D7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34. [M2-15] ICH E19 Selective Safety Data Collection. </w:t>
      </w:r>
      <w:r>
        <w:rPr>
          <w:rFonts w:ascii="Aptos" w:hAnsi="Aptos" w:eastAsia="等线"/>
          <w:b w:val="0"/>
          <w:sz w:val="21"/>
        </w:rPr>
        <w:t>ICH, 2022。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"https://database.ich.org/sites/default/files/ICH_E19_Guideline_Step4_2022_0826_0.pdf" \h </w:instrText>
      </w:r>
      <w:r>
        <w:fldChar w:fldCharType="separate"/>
      </w:r>
      <w:r>
        <w:rPr>
          <w:color w:val="2E74B5"/>
          <w:u w:val="single"/>
        </w:rPr>
        <w:t>https://database.ich.org/sites/default/files/ICH_E19_Guideline_Step4_2022_0826_0.pdf</w:t>
      </w:r>
      <w:r>
        <w:rPr>
          <w:color w:val="2E74B5"/>
          <w:u w:val="single"/>
        </w:rPr>
        <w:fldChar w:fldCharType="end"/>
      </w:r>
    </w:p>
    <w:p w14:paraId="2407627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特定后期试验的风险比例化安全数据收集</w:t>
      </w:r>
    </w:p>
    <w:p w14:paraId="2CA4447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35. [M2-16] ICH E2D(R1) Post-Approval Safety Data. </w:t>
      </w:r>
      <w:r>
        <w:rPr>
          <w:rFonts w:ascii="Aptos" w:hAnsi="Aptos" w:eastAsia="等线"/>
          <w:b w:val="0"/>
          <w:sz w:val="21"/>
        </w:rPr>
        <w:t>ICH,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"https://database.ich.org/sites/default/files/ICH_E2D%28R1%29_Step4_FinalGuideline_2025_0819.pdf" \h </w:instrText>
      </w:r>
      <w:r>
        <w:fldChar w:fldCharType="separate"/>
      </w:r>
      <w:r>
        <w:rPr>
          <w:color w:val="2E74B5"/>
          <w:u w:val="single"/>
        </w:rPr>
        <w:t>https://database.ich.org/sites/default/files/ICH_E2D%28R1%29_Step4_FinalGuideline_2025_0819.pdf</w:t>
      </w:r>
      <w:r>
        <w:rPr>
          <w:color w:val="2E74B5"/>
          <w:u w:val="single"/>
        </w:rPr>
        <w:fldChar w:fldCharType="end"/>
      </w:r>
    </w:p>
    <w:p w14:paraId="5F8BE69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上市后个例安全报告定义和管理标准</w:t>
      </w:r>
    </w:p>
    <w:p w14:paraId="5270DFB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36. [MED-001] ICH M11 Clinical electronic Structured Harmonised Protocol CeSHarP final guideline. </w:t>
      </w:r>
      <w:r>
        <w:rPr>
          <w:rFonts w:ascii="Aptos" w:hAnsi="Aptos" w:eastAsia="等线"/>
          <w:b w:val="0"/>
          <w:sz w:val="21"/>
        </w:rPr>
        <w:t>ICH,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"https://database.ich.org/sites/default/files/ICH_Step4_M11_Final_Guideline_2025_1119.pdf" \h </w:instrText>
      </w:r>
      <w:r>
        <w:fldChar w:fldCharType="separate"/>
      </w:r>
      <w:r>
        <w:rPr>
          <w:color w:val="2E74B5"/>
          <w:u w:val="single"/>
        </w:rPr>
        <w:t>https://database.ich.org/sites/default/files/ICH_Step4_M11_Final_Guideline_2025_1119.pdf</w:t>
      </w:r>
      <w:r>
        <w:rPr>
          <w:color w:val="2E74B5"/>
          <w:u w:val="single"/>
        </w:rPr>
        <w:fldChar w:fldCharType="end"/>
      </w:r>
    </w:p>
    <w:p w14:paraId="6371F9E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Structured protocol standard and Trial Fact Sheet rationale</w:t>
      </w:r>
    </w:p>
    <w:p w14:paraId="462C025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37. [MED-003] ICH M11 Explainer. </w:t>
      </w:r>
      <w:r>
        <w:rPr>
          <w:rFonts w:ascii="Aptos" w:hAnsi="Aptos" w:eastAsia="等线"/>
          <w:b w:val="0"/>
          <w:sz w:val="21"/>
        </w:rPr>
        <w:t>ICH,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"https://database.ich.org/sites/default/files/ICH%20M11%20Explainer_May2026.pdf" \h </w:instrText>
      </w:r>
      <w:r>
        <w:fldChar w:fldCharType="separate"/>
      </w:r>
      <w:r>
        <w:rPr>
          <w:color w:val="2E74B5"/>
          <w:u w:val="single"/>
        </w:rPr>
        <w:t>https://database.ich.org/sites/default/files/ICH%20M11%20Explainer_May2026.pdf</w:t>
      </w:r>
      <w:r>
        <w:rPr>
          <w:color w:val="2E74B5"/>
          <w:u w:val="single"/>
        </w:rPr>
        <w:fldChar w:fldCharType="end"/>
      </w:r>
    </w:p>
    <w:p w14:paraId="773CA92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Concise official story for structured protocol deliverables</w:t>
      </w:r>
    </w:p>
    <w:p w14:paraId="5D34499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38. [MED-004] M11 Clinical Electronic Structured Harmonised Protocol. </w:t>
      </w:r>
      <w:r>
        <w:rPr>
          <w:rFonts w:ascii="Aptos" w:hAnsi="Aptos" w:eastAsia="等线"/>
          <w:b w:val="0"/>
          <w:sz w:val="21"/>
        </w:rPr>
        <w:t>US FDA,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"https://www.fda.gov/regulatory-information/search-fda-guidance-documents/m11-clinical-electronic-structured-harmonised-protocol" \h </w:instrText>
      </w:r>
      <w:r>
        <w:fldChar w:fldCharType="separate"/>
      </w:r>
      <w:r>
        <w:rPr>
          <w:color w:val="2E74B5"/>
          <w:u w:val="single"/>
        </w:rPr>
        <w:t>https://www.fda.gov/regulatory-information/search-fda-guidance-documents/m11-clinical-electronic-structured-harmonised-protocol</w:t>
      </w:r>
      <w:r>
        <w:rPr>
          <w:color w:val="2E74B5"/>
          <w:u w:val="single"/>
        </w:rPr>
        <w:fldChar w:fldCharType="end"/>
      </w:r>
    </w:p>
    <w:p w14:paraId="057C8FE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US adoption page for ICH M11</w:t>
      </w:r>
    </w:p>
    <w:p w14:paraId="2205EA7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39. [MED-005] ICH M11 guideline clinical study protocol template and technical specifications scientific guideline. </w:t>
      </w:r>
      <w:r>
        <w:rPr>
          <w:rFonts w:ascii="Aptos" w:hAnsi="Aptos" w:eastAsia="等线"/>
          <w:b w:val="0"/>
          <w:sz w:val="21"/>
        </w:rPr>
        <w:t>European Medicines Agency, 2023。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"https://www.ema.europa.eu/en/ich-m11-guideline-clinical-study-protocol-template-technical-specifications-scientific-guideline" \h </w:instrText>
      </w:r>
      <w:r>
        <w:fldChar w:fldCharType="separate"/>
      </w:r>
      <w:r>
        <w:rPr>
          <w:color w:val="2E74B5"/>
          <w:u w:val="single"/>
        </w:rPr>
        <w:t>https://www.ema.europa.eu/en/ich-m11-guideline-clinical-study-protocol-template-technical-specifications-scientific-guideline</w:t>
      </w:r>
      <w:r>
        <w:rPr>
          <w:color w:val="2E74B5"/>
          <w:u w:val="single"/>
        </w:rPr>
        <w:fldChar w:fldCharType="end"/>
      </w:r>
    </w:p>
    <w:p w14:paraId="116DC53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EU regulatory context for harmonised protocol preparation</w:t>
      </w:r>
    </w:p>
    <w:p w14:paraId="58B5E2E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40. [MED-006] SPIRIT 2013 Checklist recommended items to address in a clinical trial protocol and related documents. </w:t>
      </w:r>
      <w:r>
        <w:rPr>
          <w:rFonts w:ascii="Aptos" w:hAnsi="Aptos" w:eastAsia="等线"/>
          <w:b w:val="0"/>
          <w:sz w:val="21"/>
        </w:rPr>
        <w:t>SPIRIT Group, 2013。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"https://www.spirit-statement.org/wp-content/uploads/2013/01/SPIRIT-Checklist-download-8Jan13.pdf" \h </w:instrText>
      </w:r>
      <w:r>
        <w:fldChar w:fldCharType="separate"/>
      </w:r>
      <w:r>
        <w:rPr>
          <w:color w:val="2E74B5"/>
          <w:u w:val="single"/>
        </w:rPr>
        <w:t>https://www.spirit-statement.org/wp-content/uploads/2013/01/SPIRIT-Checklist-download-8Jan13.pdf</w:t>
      </w:r>
      <w:r>
        <w:rPr>
          <w:color w:val="2E74B5"/>
          <w:u w:val="single"/>
        </w:rPr>
        <w:fldChar w:fldCharType="end"/>
      </w:r>
    </w:p>
    <w:p w14:paraId="78B26BA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completeness and amendment-tracking checklist</w:t>
      </w:r>
    </w:p>
    <w:p w14:paraId="022F5DD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41. [MED-007] SPIRIT 2013 Statement defining standard protocol items for clinical trials. </w:t>
      </w:r>
      <w:r>
        <w:rPr>
          <w:rFonts w:ascii="Aptos" w:hAnsi="Aptos" w:eastAsia="等线"/>
          <w:b w:val="0"/>
          <w:sz w:val="21"/>
        </w:rPr>
        <w:t>SPIRIT Group, 2013。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"https://www.spirit-statement.org/wp-content/uploads/SPIRIT_2013_Statement_FR_final.pdf" \h </w:instrText>
      </w:r>
      <w:r>
        <w:fldChar w:fldCharType="separate"/>
      </w:r>
      <w:r>
        <w:rPr>
          <w:color w:val="2E74B5"/>
          <w:u w:val="single"/>
        </w:rPr>
        <w:t>https://www.spirit-statement.org/wp-content/uploads/SPIRIT_2013_Statement_FR_final.pdf</w:t>
      </w:r>
      <w:r>
        <w:rPr>
          <w:color w:val="2E74B5"/>
          <w:u w:val="single"/>
        </w:rPr>
        <w:fldChar w:fldCharType="end"/>
      </w:r>
    </w:p>
    <w:p w14:paraId="2E4D2D5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item taxonomy and schedule examples</w:t>
      </w:r>
    </w:p>
    <w:p w14:paraId="5BA5625C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42. [MED-008] SPIRIT electronic protocol tool and resource SEPTRE overview. </w:t>
      </w:r>
      <w:r>
        <w:rPr>
          <w:rFonts w:ascii="Aptos" w:hAnsi="Aptos" w:eastAsia="等线"/>
          <w:b w:val="0"/>
          <w:sz w:val="21"/>
        </w:rPr>
        <w:t>SPIRIT Group,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"https://www.spirit-statement.org/" \h </w:instrText>
      </w:r>
      <w:r>
        <w:fldChar w:fldCharType="separate"/>
      </w:r>
      <w:r>
        <w:rPr>
          <w:color w:val="2E74B5"/>
          <w:u w:val="single"/>
        </w:rPr>
        <w:t>https://www.spirit-statement.org/</w:t>
      </w:r>
      <w:r>
        <w:rPr>
          <w:color w:val="2E74B5"/>
          <w:u w:val="single"/>
        </w:rPr>
        <w:fldChar w:fldCharType="end"/>
      </w:r>
    </w:p>
    <w:p w14:paraId="11605D5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Existing protocol creation and management tool context</w:t>
      </w:r>
    </w:p>
    <w:p w14:paraId="119B412C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43. [MED-009] SPIRIT-AI extension for clinical trial protocols involving AI interventions. </w:t>
      </w:r>
      <w:r>
        <w:rPr>
          <w:rFonts w:ascii="Aptos" w:hAnsi="Aptos" w:eastAsia="等线"/>
          <w:b w:val="0"/>
          <w:sz w:val="21"/>
        </w:rPr>
        <w:t>BMJ and SPIRIT-AI Group, 2020。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"https://pmc.ncbi.nlm.nih.gov/articles/PMC8212701/" \h </w:instrText>
      </w:r>
      <w:r>
        <w:fldChar w:fldCharType="separate"/>
      </w:r>
      <w:r>
        <w:rPr>
          <w:color w:val="2E74B5"/>
          <w:u w:val="single"/>
        </w:rPr>
        <w:t>https://pmc.ncbi.nlm.nih.gov/articles/PMC8212701/</w:t>
      </w:r>
      <w:r>
        <w:rPr>
          <w:color w:val="2E74B5"/>
          <w:u w:val="single"/>
        </w:rPr>
        <w:fldChar w:fldCharType="end"/>
      </w:r>
    </w:p>
    <w:p w14:paraId="54EF513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AI-related protocol items and AI trial documentation boundaries</w:t>
      </w:r>
    </w:p>
    <w:p w14:paraId="5373EE3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44. [MED-010] CONSORT 2010 Statement updated guidelines for reporting parallel group randomised trials. </w:t>
      </w:r>
      <w:r>
        <w:rPr>
          <w:rFonts w:ascii="Aptos" w:hAnsi="Aptos" w:eastAsia="等线"/>
          <w:b w:val="0"/>
          <w:sz w:val="21"/>
        </w:rPr>
        <w:t>BMC Medicine, 2010。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"https://link.springer.com/article/10.1186/1741-7015-8-18" \h </w:instrText>
      </w:r>
      <w:r>
        <w:fldChar w:fldCharType="separate"/>
      </w:r>
      <w:r>
        <w:rPr>
          <w:color w:val="2E74B5"/>
          <w:u w:val="single"/>
        </w:rPr>
        <w:t>https://link.springer.com/article/10.1186/1741-7015-8-18</w:t>
      </w:r>
      <w:r>
        <w:rPr>
          <w:color w:val="2E74B5"/>
          <w:u w:val="single"/>
        </w:rPr>
        <w:fldChar w:fldCharType="end"/>
      </w:r>
    </w:p>
    <w:p w14:paraId="31D5DCE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Trial reporting checklist and consistency principles</w:t>
      </w:r>
    </w:p>
    <w:p w14:paraId="3F0E5ABA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45. [MED-011] ClinicalTrials.gov Protocol Registration Data Element Definitions for Interventional and Observational Studies. </w:t>
      </w:r>
      <w:r>
        <w:rPr>
          <w:rFonts w:ascii="Aptos" w:hAnsi="Aptos" w:eastAsia="等线"/>
          <w:b w:val="0"/>
          <w:sz w:val="21"/>
        </w:rPr>
        <w:t>ClinicalTrials.gov and NLM,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"https://clinicaltrials.gov/policy/protocol-definitions" \h </w:instrText>
      </w:r>
      <w:r>
        <w:fldChar w:fldCharType="separate"/>
      </w:r>
      <w:r>
        <w:rPr>
          <w:color w:val="2E74B5"/>
          <w:u w:val="single"/>
        </w:rPr>
        <w:t>https://clinicaltrials.gov/policy/protocol-definitions</w:t>
      </w:r>
      <w:r>
        <w:rPr>
          <w:color w:val="2E74B5"/>
          <w:u w:val="single"/>
        </w:rPr>
        <w:fldChar w:fldCharType="end"/>
      </w:r>
    </w:p>
    <w:p w14:paraId="5001327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Structured vocabulary for endpoints arms eligibility and outcomes</w:t>
      </w:r>
    </w:p>
    <w:p w14:paraId="0B349A5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46. [MED-013] ICH E6(R3) Good Clinical Practice guideline. </w:t>
      </w:r>
      <w:r>
        <w:rPr>
          <w:rFonts w:ascii="Aptos" w:hAnsi="Aptos" w:eastAsia="等线"/>
          <w:b w:val="0"/>
          <w:sz w:val="21"/>
        </w:rPr>
        <w:t>ICH,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"https://database.ich.org/sites/default/files/ICH_E6%28R3%29_Step4_FinalGuideline_2025_0106.pdf" \h </w:instrText>
      </w:r>
      <w:r>
        <w:fldChar w:fldCharType="separate"/>
      </w:r>
      <w:r>
        <w:rPr>
          <w:color w:val="2E74B5"/>
          <w:u w:val="single"/>
        </w:rPr>
        <w:t>https://database.ich.org/sites/default/files/ICH_E6%28R3%29_Step4_FinalGuideline_2025_0106.pdf</w:t>
      </w:r>
      <w:r>
        <w:rPr>
          <w:color w:val="2E74B5"/>
          <w:u w:val="single"/>
        </w:rPr>
        <w:fldChar w:fldCharType="end"/>
      </w:r>
    </w:p>
    <w:p w14:paraId="760394B6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Quality by design and human responsibility boundary</w:t>
      </w:r>
    </w:p>
    <w:p w14:paraId="5479854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47. [MED-014] ICH E8(R1) General Considerations for Clinical Studies. </w:t>
      </w:r>
      <w:r>
        <w:rPr>
          <w:rFonts w:ascii="Aptos" w:hAnsi="Aptos" w:eastAsia="等线"/>
          <w:b w:val="0"/>
          <w:sz w:val="21"/>
        </w:rPr>
        <w:t>ICH, 2021。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"https://database.ich.org/sites/default/files/E8-R1_Guideline_Step4_2021_1006.pdf"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https://database.ich.org/sites/default/files/E8-R1_Guideline_Step4_2021_1006.pdf</w:t>
      </w:r>
      <w:r>
        <w:rPr>
          <w:color w:val="2E74B5"/>
          <w:u w:val="single"/>
        </w:rPr>
        <w:fldChar w:fldCharType="end"/>
      </w:r>
    </w:p>
    <w:p w14:paraId="74F6D26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Quality by design and critical-to-quality factors</w:t>
      </w:r>
    </w:p>
    <w:p w14:paraId="7491843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48. [MED-015] ICH E9 Statistical Principles for Clinical Trials. </w:t>
      </w:r>
      <w:r>
        <w:rPr>
          <w:rFonts w:ascii="Aptos" w:hAnsi="Aptos" w:eastAsia="等线"/>
          <w:b w:val="0"/>
          <w:sz w:val="21"/>
        </w:rPr>
        <w:t>ICH, 1998。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"https://database.ich.org/sites/default/files/E9_Guideline.pdf"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https://database.ich.org/sites/default/files/E9_Guideline.pdf</w:t>
      </w:r>
      <w:r>
        <w:rPr>
          <w:color w:val="2E74B5"/>
          <w:u w:val="single"/>
        </w:rPr>
        <w:fldChar w:fldCharType="end"/>
      </w:r>
    </w:p>
    <w:p w14:paraId="48840FE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Statistical constraints and analysis-plan consistency</w:t>
      </w:r>
    </w:p>
    <w:p w14:paraId="34721B8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49. [MED-016] ICH E9(R1) Addendum on Estimands and Sensitivity Analysis. </w:t>
      </w:r>
      <w:r>
        <w:rPr>
          <w:rFonts w:ascii="Aptos" w:hAnsi="Aptos" w:eastAsia="等线"/>
          <w:b w:val="0"/>
          <w:sz w:val="21"/>
        </w:rPr>
        <w:t>ICH, 2019。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"https://database.ich.org/sites/default/files/E9-R1_Step4_Guideline_2019_1203.pdf"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https://database.ich.org/sites/default/files/E9-R1_Step4_Guideline_2019_1203.pdf</w:t>
      </w:r>
      <w:r>
        <w:rPr>
          <w:color w:val="2E74B5"/>
          <w:u w:val="single"/>
        </w:rPr>
        <w:fldChar w:fldCharType="end"/>
      </w:r>
    </w:p>
    <w:p w14:paraId="599D92B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Endpoint estimand language and semantic consistency</w:t>
      </w:r>
    </w:p>
    <w:p w14:paraId="6A311E4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50. [MED-017] When and how can endpoints be changed after initiation of a randomized clinical trial. </w:t>
      </w:r>
      <w:r>
        <w:rPr>
          <w:rFonts w:ascii="Aptos" w:hAnsi="Aptos" w:eastAsia="等线"/>
          <w:b w:val="0"/>
          <w:sz w:val="21"/>
        </w:rPr>
        <w:t>PLoS Clinical Trials via PMC, 2007。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"https://pmc.ncbi.nlm.nih.gov/articles/PMC1852589/" \h </w:instrText>
      </w:r>
      <w:r>
        <w:fldChar w:fldCharType="separate"/>
      </w:r>
      <w:r>
        <w:rPr>
          <w:color w:val="2E74B5"/>
          <w:u w:val="single"/>
        </w:rPr>
        <w:t>https://pmc.ncbi.nlm.nih.gov/articles/PMC1852589/</w:t>
      </w:r>
      <w:r>
        <w:rPr>
          <w:color w:val="2E74B5"/>
          <w:u w:val="single"/>
        </w:rPr>
        <w:fldChar w:fldCharType="end"/>
      </w:r>
    </w:p>
    <w:p w14:paraId="5515355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Endpoint change risk and downstream update reasoning</w:t>
      </w:r>
    </w:p>
    <w:p w14:paraId="0033F57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51. [MED-018] Common Clinical Trial Amendments why they are submitted and why they are not. </w:t>
      </w:r>
      <w:r>
        <w:rPr>
          <w:rFonts w:ascii="Aptos" w:hAnsi="Aptos" w:eastAsia="等线"/>
          <w:b w:val="0"/>
          <w:sz w:val="21"/>
        </w:rPr>
        <w:t>PMC, 2022。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"https://pmc.ncbi.nlm.nih.gov/articles/PMC9811046/" \h </w:instrText>
      </w:r>
      <w:r>
        <w:fldChar w:fldCharType="separate"/>
      </w:r>
      <w:r>
        <w:rPr>
          <w:color w:val="2E74B5"/>
          <w:u w:val="single"/>
        </w:rPr>
        <w:t>https://pmc.ncbi.nlm.nih.gov/articles/PMC9811046/</w:t>
      </w:r>
      <w:r>
        <w:rPr>
          <w:color w:val="2E74B5"/>
          <w:u w:val="single"/>
        </w:rPr>
        <w:fldChar w:fldCharType="end"/>
      </w:r>
    </w:p>
    <w:p w14:paraId="43BC11AC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amendment taxonomy and operational burden</w:t>
      </w:r>
    </w:p>
    <w:p w14:paraId="65407E1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52. [MED-019] The Impact of Protocol Amendments on Clinical Trial Performance and Cost. </w:t>
      </w:r>
      <w:r>
        <w:rPr>
          <w:rFonts w:ascii="Aptos" w:hAnsi="Aptos" w:eastAsia="等线"/>
          <w:b w:val="0"/>
          <w:sz w:val="21"/>
        </w:rPr>
        <w:t>PubMed, 2016。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"https://pubmed.ncbi.nlm.nih.gov/30227022/" \h </w:instrText>
      </w:r>
      <w:r>
        <w:fldChar w:fldCharType="separate"/>
      </w:r>
      <w:r>
        <w:rPr>
          <w:color w:val="2E74B5"/>
          <w:u w:val="single"/>
        </w:rPr>
        <w:t>https://pubmed.ncbi.nlm.nih.gov/30227022/</w:t>
      </w:r>
      <w:r>
        <w:rPr>
          <w:color w:val="2E74B5"/>
          <w:u w:val="single"/>
        </w:rPr>
        <w:fldChar w:fldCharType="end"/>
      </w:r>
    </w:p>
    <w:p w14:paraId="1DA4C3A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Quantitative amendment cost and performance evidence</w:t>
      </w:r>
    </w:p>
    <w:p w14:paraId="059BDA1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53. [MED-020] The Impact of Protocol Amendments on Clinical Trial Performance and Cost. </w:t>
      </w:r>
      <w:r>
        <w:rPr>
          <w:rFonts w:ascii="Aptos" w:hAnsi="Aptos" w:eastAsia="等线"/>
          <w:b w:val="0"/>
          <w:sz w:val="21"/>
        </w:rPr>
        <w:t>SAGE Journals, 2016。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"https://journals.sagepub.com/doi/10.1177/2168479016632271" \h </w:instrText>
      </w:r>
      <w:r>
        <w:fldChar w:fldCharType="separate"/>
      </w:r>
      <w:r>
        <w:rPr>
          <w:color w:val="2E74B5"/>
          <w:u w:val="single"/>
        </w:rPr>
        <w:t>https://journals.sagepub.com/doi/10.1177/2168479016632271</w:t>
      </w:r>
      <w:r>
        <w:rPr>
          <w:color w:val="2E74B5"/>
          <w:u w:val="single"/>
        </w:rPr>
        <w:fldChar w:fldCharType="end"/>
      </w:r>
    </w:p>
    <w:p w14:paraId="049B994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Publisher landing page for amendment cost evidence</w:t>
      </w:r>
    </w:p>
    <w:p w14:paraId="3E4D283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54. [MED-021] New Benchmarks on Protocol Amendment Practices Trends and their Impact on Clinical Trial Performance. </w:t>
      </w:r>
      <w:r>
        <w:rPr>
          <w:rFonts w:ascii="Aptos" w:hAnsi="Aptos" w:eastAsia="等线"/>
          <w:b w:val="0"/>
          <w:sz w:val="21"/>
        </w:rPr>
        <w:t>PubMed,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"https://pubmed.ncbi.nlm.nih.gov/38438658/" \h </w:instrText>
      </w:r>
      <w:r>
        <w:fldChar w:fldCharType="separate"/>
      </w:r>
      <w:r>
        <w:rPr>
          <w:color w:val="2E74B5"/>
          <w:u w:val="single"/>
        </w:rPr>
        <w:t>https://pubmed.ncbi.nlm.nih.gov/38438658/</w:t>
      </w:r>
      <w:r>
        <w:rPr>
          <w:color w:val="2E74B5"/>
          <w:u w:val="single"/>
        </w:rPr>
        <w:fldChar w:fldCharType="end"/>
      </w:r>
    </w:p>
    <w:p w14:paraId="7DE9846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Updated amendment trend benchmark metadata</w:t>
      </w:r>
    </w:p>
    <w:p w14:paraId="029D7AF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55. [MED-022] Development of a protocol complexity tool a framework designed to simplify clinical trials. </w:t>
      </w:r>
      <w:r>
        <w:rPr>
          <w:rFonts w:ascii="Aptos" w:hAnsi="Aptos" w:eastAsia="等线"/>
          <w:b w:val="0"/>
          <w:sz w:val="21"/>
        </w:rPr>
        <w:t>PMC,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"https://pmc.ncbi.nlm.nih.gov/articles/PMC12395810/" \h </w:instrText>
      </w:r>
      <w:r>
        <w:fldChar w:fldCharType="separate"/>
      </w:r>
      <w:r>
        <w:rPr>
          <w:color w:val="2E74B5"/>
          <w:u w:val="single"/>
        </w:rPr>
        <w:t>https://pmc.ncbi.nlm.nih.gov/articles/PMC12395810/</w:t>
      </w:r>
      <w:r>
        <w:rPr>
          <w:color w:val="2E74B5"/>
          <w:u w:val="single"/>
        </w:rPr>
        <w:fldChar w:fldCharType="end"/>
      </w:r>
    </w:p>
    <w:p w14:paraId="7C073EB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complexity measurement and simplification framing</w:t>
      </w:r>
    </w:p>
    <w:p w14:paraId="72B679A6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56. [MED-023] ICH Guidance Documents. </w:t>
      </w:r>
      <w:r>
        <w:rPr>
          <w:rFonts w:ascii="Aptos" w:hAnsi="Aptos" w:eastAsia="等线"/>
          <w:b w:val="0"/>
          <w:sz w:val="21"/>
        </w:rPr>
        <w:t>US FDA,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"https://www.fda.gov/science-research/clinical-trials-and-human-subject-protection/ich-guidance-documents" \h </w:instrText>
      </w:r>
      <w:r>
        <w:fldChar w:fldCharType="separate"/>
      </w:r>
      <w:r>
        <w:rPr>
          <w:color w:val="2E74B5"/>
          <w:u w:val="single"/>
        </w:rPr>
        <w:t>https://www.fda.gov/science-research/clinical-trials-and-human-subject-protection/ich-guidance-documents</w:t>
      </w:r>
      <w:r>
        <w:rPr>
          <w:color w:val="2E74B5"/>
          <w:u w:val="single"/>
        </w:rPr>
        <w:fldChar w:fldCharType="end"/>
      </w:r>
    </w:p>
    <w:p w14:paraId="728F5CE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Official FDA index for ICH guidance cross-checking</w:t>
      </w:r>
    </w:p>
    <w:p w14:paraId="64DB9616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57. [REG-001] FDA Informed Consent Guidance for IRBs, Clinical Investigators, and Sponsors. </w:t>
      </w:r>
      <w:r>
        <w:rPr>
          <w:rFonts w:ascii="Aptos" w:hAnsi="Aptos" w:eastAsia="等线"/>
          <w:b w:val="0"/>
          <w:sz w:val="21"/>
        </w:rPr>
        <w:t>US FDA, 2023。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"https://www.fda.gov/downloads/regulatoryinformation/guidances/ucm405006.pdf" \h </w:instrText>
      </w:r>
      <w:r>
        <w:fldChar w:fldCharType="separate"/>
      </w:r>
      <w:r>
        <w:rPr>
          <w:color w:val="2E74B5"/>
          <w:u w:val="single"/>
        </w:rPr>
        <w:t>https://www.fda.gov/downloads/regulatoryinformation/guidances/ucm405006.pdf</w:t>
      </w:r>
      <w:r>
        <w:rPr>
          <w:color w:val="2E74B5"/>
          <w:u w:val="single"/>
        </w:rPr>
        <w:fldChar w:fldCharType="end"/>
      </w:r>
    </w:p>
    <w:p w14:paraId="702E0ABD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Consent rule constraints and participant-facing document checks</w:t>
      </w:r>
    </w:p>
    <w:p w14:paraId="47F2991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58. [REG-002] HHS OHRP Informed Consent Checklist. </w:t>
      </w:r>
      <w:r>
        <w:rPr>
          <w:rFonts w:ascii="Aptos" w:hAnsi="Aptos" w:eastAsia="等线"/>
          <w:b w:val="0"/>
          <w:sz w:val="21"/>
        </w:rPr>
        <w:t>HHS OHRP,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"https://www.hhs.gov/ohrp/regulations-and-policy/guidance/checklists/index.html" \h </w:instrText>
      </w:r>
      <w:r>
        <w:fldChar w:fldCharType="separate"/>
      </w:r>
      <w:r>
        <w:rPr>
          <w:color w:val="2E74B5"/>
          <w:u w:val="single"/>
        </w:rPr>
        <w:t>https://www.hhs.gov/ohrp/regulations-and-policy/guidance/checklists/index.html</w:t>
      </w:r>
      <w:r>
        <w:rPr>
          <w:color w:val="2E74B5"/>
          <w:u w:val="single"/>
        </w:rPr>
        <w:fldChar w:fldCharType="end"/>
      </w:r>
    </w:p>
    <w:p w14:paraId="05F4CD3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Consent required elements checklist for ICF unit tests</w:t>
      </w:r>
    </w:p>
    <w:p w14:paraId="2A83382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59. [REG-003] FDA and HHS Use of Electronic Informed Consent in Clinical Investigations. </w:t>
      </w:r>
      <w:r>
        <w:rPr>
          <w:rFonts w:ascii="Aptos" w:hAnsi="Aptos" w:eastAsia="等线"/>
          <w:b w:val="0"/>
          <w:sz w:val="21"/>
        </w:rPr>
        <w:t>US FDA / HHS, 2016。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"https://www.fda.gov/regulatory-information/search-fda-guidance-documents/use-electronic-informed-consent-clinical-investigations-questions-and-answers" \h </w:instrText>
      </w:r>
      <w:r>
        <w:fldChar w:fldCharType="separate"/>
      </w:r>
      <w:r>
        <w:rPr>
          <w:color w:val="2E74B5"/>
          <w:u w:val="single"/>
        </w:rPr>
        <w:t>https://www.fda.gov/regulatory-information/search-fda-guidance-documents/use-electronic-informed-consent-clinical-investigations-questions-and-answers</w:t>
      </w:r>
      <w:r>
        <w:rPr>
          <w:color w:val="2E74B5"/>
          <w:u w:val="single"/>
        </w:rPr>
        <w:fldChar w:fldCharType="end"/>
      </w:r>
    </w:p>
    <w:p w14:paraId="3F0FE15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Digital consent and electronic record boundary for Feishu workflow story</w:t>
      </w:r>
    </w:p>
    <w:p w14:paraId="2AE9C32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60. [REG-004] ICH E17 General Principles for Planning and Design of Multi-Regional Clinical Trials. </w:t>
      </w:r>
      <w:r>
        <w:rPr>
          <w:rFonts w:ascii="Aptos" w:hAnsi="Aptos" w:eastAsia="等线"/>
          <w:b w:val="0"/>
          <w:sz w:val="21"/>
        </w:rPr>
        <w:t>ICH, 2017。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"https://database.ich.org/sites/default/files/E17EWG_Step4_2017_1116.pdf"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https://database.ich.org/sites/default/files/E17EWG_Step4_2017_1116.pdf</w:t>
      </w:r>
      <w:r>
        <w:rPr>
          <w:color w:val="2E74B5"/>
          <w:u w:val="single"/>
        </w:rPr>
        <w:fldChar w:fldCharType="end"/>
      </w:r>
    </w:p>
    <w:p w14:paraId="5320F4C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Global protocol design constraints and region-related design facts</w:t>
      </w:r>
    </w:p>
    <w:p w14:paraId="568BEC1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61. [REG-005] EMA ICH E17 scientific guideline page. </w:t>
      </w:r>
      <w:r>
        <w:rPr>
          <w:rFonts w:ascii="Aptos" w:hAnsi="Aptos" w:eastAsia="等线"/>
          <w:b w:val="0"/>
          <w:sz w:val="21"/>
        </w:rPr>
        <w:t>EMA,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"https://www.ema.europa.eu/en/ich-guideline-e17-general-principles-planning-design-multi-regional-clinical-trials-scientific-guideline" \h </w:instrText>
      </w:r>
      <w:r>
        <w:fldChar w:fldCharType="separate"/>
      </w:r>
      <w:r>
        <w:rPr>
          <w:color w:val="2E74B5"/>
          <w:u w:val="single"/>
        </w:rPr>
        <w:t>https://www.ema.europa.eu/en/ich-guideline-e17-general-principles-planning-design-multi-regional-clinical-trials-scientific-guideline</w:t>
      </w:r>
      <w:r>
        <w:rPr>
          <w:color w:val="2E74B5"/>
          <w:u w:val="single"/>
        </w:rPr>
        <w:fldChar w:fldCharType="end"/>
      </w:r>
    </w:p>
    <w:p w14:paraId="3F5FB85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EMA context for ICH E17 and global submission acceptability</w:t>
      </w:r>
    </w:p>
    <w:p w14:paraId="720094D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62. [REG-006] FDA E17 General Principles for Planning and Design of Multi-Regional Clinical Trials. </w:t>
      </w:r>
      <w:r>
        <w:rPr>
          <w:rFonts w:ascii="Aptos" w:hAnsi="Aptos" w:eastAsia="等线"/>
          <w:b w:val="0"/>
          <w:sz w:val="21"/>
        </w:rPr>
        <w:t>US FDA, 2018。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"https://www.fda.gov/regulatory-information/search-fda-guidance-documents/e17-general-principles-planning-and-design-multi-regional-clinical-trials" \h </w:instrText>
      </w:r>
      <w:r>
        <w:fldChar w:fldCharType="separate"/>
      </w:r>
      <w:r>
        <w:rPr>
          <w:color w:val="2E74B5"/>
          <w:u w:val="single"/>
        </w:rPr>
        <w:t>https://www.fda.gov/regulatory-information/search-fda-guidance-documents/e17-general-principles-planning-and-design-multi-regional-clinical-trials</w:t>
      </w:r>
      <w:r>
        <w:rPr>
          <w:color w:val="2E74B5"/>
          <w:u w:val="single"/>
        </w:rPr>
        <w:fldChar w:fldCharType="end"/>
      </w:r>
    </w:p>
    <w:p w14:paraId="4AEF1E0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US adoption context for multi-region protocol constraints</w:t>
      </w:r>
    </w:p>
    <w:p w14:paraId="1FDAAA7C">
      <w:pPr>
        <w:pStyle w:val="3"/>
      </w:pPr>
      <w:r>
        <w:t>临床文件模板与关联文件</w:t>
      </w:r>
    </w:p>
    <w:p w14:paraId="4C2ED66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63. [ADOC-001] WHO informed consent form template for clinical studies. </w:t>
      </w:r>
      <w:r>
        <w:rPr>
          <w:rFonts w:ascii="Aptos" w:hAnsi="Aptos" w:eastAsia="等线"/>
          <w:b w:val="0"/>
          <w:sz w:val="21"/>
        </w:rPr>
        <w:t>WHO,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"https://cdn.who.int/media/docs/default-source/documents/ethics/ethics-informedconsent-clinicalstudies.doc?sfvrsn=d69ff68a_0" \h </w:instrText>
      </w:r>
      <w:r>
        <w:fldChar w:fldCharType="separate"/>
      </w:r>
      <w:r>
        <w:rPr>
          <w:color w:val="2E74B5"/>
          <w:u w:val="single"/>
        </w:rPr>
        <w:t>https://cdn.who.int/media/docs/default-source/documents/ethics/ethics-informedconsent-clinicalstudies.doc?sfvrsn=d69ff68a_0</w:t>
      </w:r>
      <w:r>
        <w:rPr>
          <w:color w:val="2E74B5"/>
          <w:u w:val="single"/>
        </w:rPr>
        <w:fldChar w:fldCharType="end"/>
      </w:r>
    </w:p>
    <w:p w14:paraId="7F3BA7C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ICF structure and informed consent document unit mapping</w:t>
      </w:r>
    </w:p>
    <w:p w14:paraId="4D7CDBE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64. [ADOC-002] NIH consent templates. </w:t>
      </w:r>
      <w:r>
        <w:rPr>
          <w:rFonts w:ascii="Aptos" w:hAnsi="Aptos" w:eastAsia="等线"/>
          <w:b w:val="0"/>
          <w:sz w:val="21"/>
        </w:rPr>
        <w:t>NIH OHSRP,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"https://irbo.nih.gov/nih-irb-templates/consent-templates/" \h </w:instrText>
      </w:r>
      <w:r>
        <w:fldChar w:fldCharType="separate"/>
      </w:r>
      <w:r>
        <w:rPr>
          <w:color w:val="2E74B5"/>
          <w:u w:val="single"/>
        </w:rPr>
        <w:t>https://irbo.nih.gov/nih-irb-templates/consent-templates/</w:t>
      </w:r>
      <w:r>
        <w:rPr>
          <w:color w:val="2E74B5"/>
          <w:u w:val="single"/>
        </w:rPr>
        <w:fldChar w:fldCharType="end"/>
      </w:r>
    </w:p>
    <w:p w14:paraId="6B5F8DA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ICF template source and consent section requirements</w:t>
      </w:r>
    </w:p>
    <w:p w14:paraId="5A2FA2A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65. [ADOC-003] NIAID protocols and informed consent. </w:t>
      </w:r>
      <w:r>
        <w:rPr>
          <w:rFonts w:ascii="Aptos" w:hAnsi="Aptos" w:eastAsia="等线"/>
          <w:b w:val="0"/>
          <w:sz w:val="21"/>
        </w:rPr>
        <w:t>NIAID,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"https://www.niaid.nih.gov/research/dmid-protocols-informed-consent" \h </w:instrText>
      </w:r>
      <w:r>
        <w:fldChar w:fldCharType="separate"/>
      </w:r>
      <w:r>
        <w:rPr>
          <w:color w:val="2E74B5"/>
          <w:u w:val="single"/>
        </w:rPr>
        <w:t>https://www.niaid.nih.gov/research/dmid-protocols-informed-consent</w:t>
      </w:r>
      <w:r>
        <w:rPr>
          <w:color w:val="2E74B5"/>
          <w:u w:val="single"/>
        </w:rPr>
        <w:fldChar w:fldCharType="end"/>
      </w:r>
    </w:p>
    <w:p w14:paraId="688AC4D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and ICF template references for document catalog</w:t>
      </w:r>
    </w:p>
    <w:p w14:paraId="7E9AF80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66. [ADOC-004] FDA informed consent template for individual patient expanded access. </w:t>
      </w:r>
      <w:r>
        <w:rPr>
          <w:rFonts w:ascii="Aptos" w:hAnsi="Aptos" w:eastAsia="等线"/>
          <w:b w:val="0"/>
          <w:sz w:val="21"/>
        </w:rPr>
        <w:t>US FDA,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"https://www.fda.gov/news-events/expanded-access/informed-consent-template-individual-patient-expanded-access" \h </w:instrText>
      </w:r>
      <w:r>
        <w:fldChar w:fldCharType="separate"/>
      </w:r>
      <w:r>
        <w:rPr>
          <w:color w:val="2E74B5"/>
          <w:u w:val="single"/>
        </w:rPr>
        <w:t>https://www.fda.gov/news-events/expanded-access/informed-consent-template-individual-patient-expanded-access</w:t>
      </w:r>
      <w:r>
        <w:rPr>
          <w:color w:val="2E74B5"/>
          <w:u w:val="single"/>
        </w:rPr>
        <w:fldChar w:fldCharType="end"/>
      </w:r>
    </w:p>
    <w:p w14:paraId="73944AB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Consent language constraints and regulatory boundary examples</w:t>
      </w:r>
    </w:p>
    <w:p w14:paraId="4ACB914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67. [ADOC-005] TransCelerate Common Statistical Analysis Plan template. </w:t>
      </w:r>
      <w:r>
        <w:rPr>
          <w:rFonts w:ascii="Aptos" w:hAnsi="Aptos" w:eastAsia="等线"/>
          <w:b w:val="0"/>
          <w:sz w:val="21"/>
        </w:rPr>
        <w:t>TransCelerate BioPharma,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"https://www.transceleratebiopharmainc.com/initiatives/common-statistical-analysis-plan-sap-template/" \h </w:instrText>
      </w:r>
      <w:r>
        <w:fldChar w:fldCharType="separate"/>
      </w:r>
      <w:r>
        <w:rPr>
          <w:color w:val="2E74B5"/>
          <w:u w:val="single"/>
        </w:rPr>
        <w:t>https://www.transceleratebiopharmainc.com/initiatives/common-statistical-analysis-plan-sap-template/</w:t>
      </w:r>
      <w:r>
        <w:rPr>
          <w:color w:val="2E74B5"/>
          <w:u w:val="single"/>
        </w:rPr>
        <w:fldChar w:fldCharType="end"/>
      </w:r>
    </w:p>
    <w:p w14:paraId="5DEB5B3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SAP structure and protocol-SAP dependency mapping</w:t>
      </w:r>
    </w:p>
    <w:p w14:paraId="42D2F073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68. [ADOC-008] EU-PEARL Statistical Analysis Plan template. </w:t>
      </w:r>
      <w:r>
        <w:rPr>
          <w:rFonts w:ascii="Aptos" w:hAnsi="Aptos" w:eastAsia="等线"/>
          <w:b w:val="0"/>
          <w:sz w:val="21"/>
        </w:rPr>
        <w:t>EU-PEARL, 2023。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"https://eu-pearl.eu/wp-content/uploads/2023/05/3.EU-PEARL_SAP_Template_V3-25April2023.docx" \h </w:instrText>
      </w:r>
      <w:r>
        <w:fldChar w:fldCharType="separate"/>
      </w:r>
      <w:r>
        <w:rPr>
          <w:color w:val="2E74B5"/>
          <w:u w:val="single"/>
        </w:rPr>
        <w:t>https://eu-pearl.eu/wp-content/uploads/2023/05/3.EU-PEARL_SAP_Template_V3-25April2023.docx</w:t>
      </w:r>
      <w:r>
        <w:rPr>
          <w:color w:val="2E74B5"/>
          <w:u w:val="single"/>
        </w:rPr>
        <w:fldChar w:fldCharType="end"/>
      </w:r>
    </w:p>
    <w:p w14:paraId="1B6C338C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SAP section examples and analysis-plan fact dependencies</w:t>
      </w:r>
    </w:p>
    <w:p w14:paraId="58ED25E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69. [ADOC-009] Duke Statistical Analysis Plan template. </w:t>
      </w:r>
      <w:r>
        <w:rPr>
          <w:rFonts w:ascii="Aptos" w:hAnsi="Aptos" w:eastAsia="等线"/>
          <w:b w:val="0"/>
          <w:sz w:val="21"/>
        </w:rPr>
        <w:t>Duke Biostatistics, 2020。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"https://biostat.duke.edu/sites/default/files/2022-06/SAP%20template%20for%20website%202020-06-09.docx" \h </w:instrText>
      </w:r>
      <w:r>
        <w:fldChar w:fldCharType="separate"/>
      </w:r>
      <w:r>
        <w:rPr>
          <w:color w:val="2E74B5"/>
          <w:u w:val="single"/>
        </w:rPr>
        <w:t>https://biostat.duke.edu/sites/default/files/2022-06/SAP%20template%20for%20website%202020-06-09.docx</w:t>
      </w:r>
      <w:r>
        <w:rPr>
          <w:color w:val="2E74B5"/>
          <w:u w:val="single"/>
        </w:rPr>
        <w:fldChar w:fldCharType="end"/>
      </w:r>
    </w:p>
    <w:p w14:paraId="1E7D00A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SAP checklist and analysis plan unit tests</w:t>
      </w:r>
    </w:p>
    <w:p w14:paraId="6BFD6B6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70. [ADOC-010] DAC Trials Statistical Analysis Plan template. </w:t>
      </w:r>
      <w:r>
        <w:rPr>
          <w:rFonts w:ascii="Aptos" w:hAnsi="Aptos" w:eastAsia="等线"/>
          <w:b w:val="0"/>
          <w:sz w:val="21"/>
        </w:rPr>
        <w:t>DAC Trials,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"https://dac-trials.org/resources/statistical-analysis-plan-template/" \h </w:instrText>
      </w:r>
      <w:r>
        <w:fldChar w:fldCharType="separate"/>
      </w:r>
      <w:r>
        <w:rPr>
          <w:color w:val="2E74B5"/>
          <w:u w:val="single"/>
        </w:rPr>
        <w:t>https://dac-trials.org/resources/statistical-analysis-plan-template/</w:t>
      </w:r>
      <w:r>
        <w:rPr>
          <w:color w:val="2E74B5"/>
          <w:u w:val="single"/>
        </w:rPr>
        <w:fldChar w:fldCharType="end"/>
      </w:r>
    </w:p>
    <w:p w14:paraId="37287C7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SAP purpose and best-practice wording</w:t>
      </w:r>
    </w:p>
    <w:p w14:paraId="70AB5E3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71. [ADOC-011] A template for the authoring of statistical analysis plans. </w:t>
      </w:r>
      <w:r>
        <w:rPr>
          <w:rFonts w:ascii="Aptos" w:hAnsi="Aptos" w:eastAsia="等线"/>
          <w:b w:val="0"/>
          <w:sz w:val="21"/>
        </w:rPr>
        <w:t>Trials / PMC, 2023。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"https://pmc.ncbi.nlm.nih.gov/articles/PMC10300078/" \h </w:instrText>
      </w:r>
      <w:r>
        <w:fldChar w:fldCharType="separate"/>
      </w:r>
      <w:r>
        <w:rPr>
          <w:color w:val="2E74B5"/>
          <w:u w:val="single"/>
        </w:rPr>
        <w:t>https://pmc.ncbi.nlm.nih.gov/articles/PMC10300078/</w:t>
      </w:r>
      <w:r>
        <w:rPr>
          <w:color w:val="2E74B5"/>
          <w:u w:val="single"/>
        </w:rPr>
        <w:fldChar w:fldCharType="end"/>
      </w:r>
    </w:p>
    <w:p w14:paraId="766B86A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Evidence for structured SAP authoring and SAP checklist content</w:t>
      </w:r>
    </w:p>
    <w:p w14:paraId="57A86C4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72. [ADOC-013] ClinicalTrials.gov results data element definitions. </w:t>
      </w:r>
      <w:r>
        <w:rPr>
          <w:rFonts w:ascii="Aptos" w:hAnsi="Aptos" w:eastAsia="等线"/>
          <w:b w:val="0"/>
          <w:sz w:val="21"/>
        </w:rPr>
        <w:t>ClinicalTrials.gov,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"https://clinicaltrials.gov/policy/results-definitions" \h </w:instrText>
      </w:r>
      <w:r>
        <w:fldChar w:fldCharType="separate"/>
      </w:r>
      <w:r>
        <w:rPr>
          <w:color w:val="2E74B5"/>
          <w:u w:val="single"/>
        </w:rPr>
        <w:t>https://clinicaltrials.gov/policy/results-definitions</w:t>
      </w:r>
      <w:r>
        <w:rPr>
          <w:color w:val="2E74B5"/>
          <w:u w:val="single"/>
        </w:rPr>
        <w:fldChar w:fldCharType="end"/>
      </w:r>
    </w:p>
    <w:p w14:paraId="6798230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Outcome result consistency and endpoint traceability</w:t>
      </w:r>
    </w:p>
    <w:p w14:paraId="7093E0A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73. [ADOC-014] ClinicalTrials.gov glossary terms. </w:t>
      </w:r>
      <w:r>
        <w:rPr>
          <w:rFonts w:ascii="Aptos" w:hAnsi="Aptos" w:eastAsia="等线"/>
          <w:b w:val="0"/>
          <w:sz w:val="21"/>
        </w:rPr>
        <w:t>ClinicalTrials.gov,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"https://clinicaltrials.gov/study-basics/glossary" \h </w:instrText>
      </w:r>
      <w:r>
        <w:fldChar w:fldCharType="separate"/>
      </w:r>
      <w:r>
        <w:rPr>
          <w:color w:val="2E74B5"/>
          <w:u w:val="single"/>
        </w:rPr>
        <w:t>https://clinicaltrials.gov/study-basics/glossary</w:t>
      </w:r>
      <w:r>
        <w:rPr>
          <w:color w:val="2E74B5"/>
          <w:u w:val="single"/>
        </w:rPr>
        <w:fldChar w:fldCharType="end"/>
      </w:r>
    </w:p>
    <w:p w14:paraId="0E0CC87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Terminology normalization for registry/protocol consistency</w:t>
      </w:r>
    </w:p>
    <w:p w14:paraId="4C92557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74. [ADOC-015] ICH E3 Structure and Content of Clinical Study Reports. </w:t>
      </w:r>
      <w:r>
        <w:rPr>
          <w:rFonts w:ascii="Aptos" w:hAnsi="Aptos" w:eastAsia="等线"/>
          <w:b w:val="0"/>
          <w:sz w:val="21"/>
        </w:rPr>
        <w:t>ICH, 1995。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"https://database.ich.org/sites/default/files/E3_Guideline.pdf" \h </w:instrText>
      </w:r>
      <w:r>
        <w:fldChar w:fldCharType="separate"/>
      </w:r>
      <w:r>
        <w:rPr>
          <w:color w:val="2E74B5"/>
          <w:u w:val="single"/>
        </w:rPr>
        <w:t>https://database.ich.org/sites/default/files/E3_Guideline.pdf</w:t>
      </w:r>
      <w:r>
        <w:rPr>
          <w:color w:val="2E74B5"/>
          <w:u w:val="single"/>
        </w:rPr>
        <w:fldChar w:fldCharType="end"/>
      </w:r>
    </w:p>
    <w:p w14:paraId="3CF7E34C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CSR document units and protocol-to-CSR traceability</w:t>
      </w:r>
    </w:p>
    <w:p w14:paraId="79B0E1D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75. [ADOC-016] NIH-FDA Phase 2 and 3 IND IDE Clinical Trial Protocol Template annotated by MRCT. </w:t>
      </w:r>
      <w:r>
        <w:rPr>
          <w:rFonts w:ascii="Aptos" w:hAnsi="Aptos" w:eastAsia="等线"/>
          <w:b w:val="0"/>
          <w:sz w:val="21"/>
        </w:rPr>
        <w:t>MRCT Center / NIH / FDA, 2022。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"https://mrctcenter.org/diversity-in-clinical-research/wp-content/uploads/sites/8/2022/06/MRCT-Center-NIH-Protocol-Template-Version-1.0.pdf" \h </w:instrText>
      </w:r>
      <w:r>
        <w:fldChar w:fldCharType="separate"/>
      </w:r>
      <w:r>
        <w:rPr>
          <w:color w:val="2E74B5"/>
          <w:u w:val="single"/>
        </w:rPr>
        <w:t>https://mrctcenter.org/diversity-in-clinical-research/wp-content/uploads/sites/8/2022/06/MRCT-Center-NIH-Protocol-Template-Version-1.0.pdf</w:t>
      </w:r>
      <w:r>
        <w:rPr>
          <w:color w:val="2E74B5"/>
          <w:u w:val="single"/>
        </w:rPr>
        <w:fldChar w:fldCharType="end"/>
      </w:r>
    </w:p>
    <w:p w14:paraId="1295375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section catalog and schedule/endpoint dependencies</w:t>
      </w:r>
    </w:p>
    <w:p w14:paraId="5B27F88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76. [ADOC-017] NIA informed consent document template and guidelines. </w:t>
      </w:r>
      <w:r>
        <w:rPr>
          <w:rFonts w:ascii="Aptos" w:hAnsi="Aptos" w:eastAsia="等线"/>
          <w:b w:val="0"/>
          <w:sz w:val="21"/>
        </w:rPr>
        <w:t>National Institute on Aging, 2022。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"https://www.nia.nih.gov/sites/default/files/2022-03/nia-informed-consent-template.docx" \h </w:instrText>
      </w:r>
      <w:r>
        <w:fldChar w:fldCharType="separate"/>
      </w:r>
      <w:r>
        <w:rPr>
          <w:color w:val="2E74B5"/>
          <w:u w:val="single"/>
        </w:rPr>
        <w:t>https://www.nia.nih.gov/sites/default/files/2022-03/nia-informed-consent-template.docx</w:t>
      </w:r>
      <w:r>
        <w:rPr>
          <w:color w:val="2E74B5"/>
          <w:u w:val="single"/>
        </w:rPr>
        <w:fldChar w:fldCharType="end"/>
      </w:r>
    </w:p>
    <w:p w14:paraId="5D62C12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Informed consent section requirements and wording patterns</w:t>
      </w:r>
    </w:p>
    <w:p w14:paraId="543CFA4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77. [ADOC-018] NYU standard consent template for clinical trials and biomedical research. </w:t>
      </w:r>
      <w:r>
        <w:rPr>
          <w:rFonts w:ascii="Aptos" w:hAnsi="Aptos" w:eastAsia="等线"/>
          <w:b w:val="0"/>
          <w:sz w:val="21"/>
        </w:rPr>
        <w:t>NYU Langone Health, 2018。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"https://med.nyu.edu/departments-institutes/clinical-translational-science/sites/default/files/standard-consent-template-for-clinical-trials-and-biomedical-research.pdf" \h </w:instrText>
      </w:r>
      <w:r>
        <w:fldChar w:fldCharType="separate"/>
      </w:r>
      <w:r>
        <w:rPr>
          <w:color w:val="2E74B5"/>
          <w:u w:val="single"/>
        </w:rPr>
        <w:t>https://med.nyu.edu/departments-institutes/clinical-translational-science/sites/default/files/standard-consent-template-for-clinical-trials-and-biomedical-research.pdf</w:t>
      </w:r>
      <w:r>
        <w:rPr>
          <w:color w:val="2E74B5"/>
          <w:u w:val="single"/>
        </w:rPr>
        <w:fldChar w:fldCharType="end"/>
      </w:r>
    </w:p>
    <w:p w14:paraId="16F5386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Consent document unit examples and risk/benefit wording checks</w:t>
      </w:r>
    </w:p>
    <w:p w14:paraId="17BA76C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78. [ADOC-019] ClinicalTrials.gov reporting basic results article. </w:t>
      </w:r>
      <w:r>
        <w:rPr>
          <w:rFonts w:ascii="Aptos" w:hAnsi="Aptos" w:eastAsia="等线"/>
          <w:b w:val="0"/>
          <w:sz w:val="21"/>
        </w:rPr>
        <w:t>PMC, 2010。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"https://pmc.ncbi.nlm.nih.gov/articles/PMC2821287/" \h </w:instrText>
      </w:r>
      <w:r>
        <w:fldChar w:fldCharType="separate"/>
      </w:r>
      <w:r>
        <w:rPr>
          <w:color w:val="2E74B5"/>
          <w:u w:val="single"/>
        </w:rPr>
        <w:t>https://pmc.ncbi.nlm.nih.gov/articles/PMC2821287/</w:t>
      </w:r>
      <w:r>
        <w:rPr>
          <w:color w:val="2E74B5"/>
          <w:u w:val="single"/>
        </w:rPr>
        <w:fldChar w:fldCharType="end"/>
      </w:r>
    </w:p>
    <w:p w14:paraId="7B3E83C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Registry results reporting background and outcome data dependencies</w:t>
      </w:r>
    </w:p>
    <w:p w14:paraId="1D46764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79. [ADOC-020] University of Buffalo ClinicalTrials.gov registration and results guide. </w:t>
      </w:r>
      <w:r>
        <w:rPr>
          <w:rFonts w:ascii="Aptos" w:hAnsi="Aptos" w:eastAsia="等线"/>
          <w:b w:val="0"/>
          <w:sz w:val="21"/>
        </w:rPr>
        <w:t>University at Buffalo CTSI,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"https://www.buffalo.edu/content/dam/www/ctsi/Cores/ClinicalResearchOffice/ClinicalTrialsgov%20Registration%20and%20Results%20Guide%201.16.2024.docx" \h </w:instrText>
      </w:r>
      <w:r>
        <w:fldChar w:fldCharType="separate"/>
      </w:r>
      <w:r>
        <w:rPr>
          <w:color w:val="2E74B5"/>
          <w:u w:val="single"/>
        </w:rPr>
        <w:t>https://www.buffalo.edu/content/dam/www/ctsi/Cores/ClinicalResearchOffice/ClinicalTrialsgov%20Registration%20and%20Results%20Guide%201.16.2024.docx</w:t>
      </w:r>
      <w:r>
        <w:rPr>
          <w:color w:val="2E74B5"/>
          <w:u w:val="single"/>
        </w:rPr>
        <w:fldChar w:fldCharType="end"/>
      </w:r>
    </w:p>
    <w:p w14:paraId="1CB41C0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Registry required-field workflow and completion date dependencies</w:t>
      </w:r>
    </w:p>
    <w:p w14:paraId="7849316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80. [ADOC-021] ClinicalTrials.gov Protocol and SAP Upload and Redaction Guidance. </w:t>
      </w:r>
      <w:r>
        <w:rPr>
          <w:rFonts w:ascii="Aptos" w:hAnsi="Aptos" w:eastAsia="等线"/>
          <w:b w:val="0"/>
          <w:sz w:val="21"/>
        </w:rPr>
        <w:t>Weill Cornell Medicine, 2019。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"https://research.weill.cornell.edu/sites/default/files/policy_forms/wcm_clinicaltrials.gov_protocol_and_sap_upload_and_redaction_guidance_v1.0_11.9.19.pdf" \h </w:instrText>
      </w:r>
      <w:r>
        <w:fldChar w:fldCharType="separate"/>
      </w:r>
      <w:r>
        <w:rPr>
          <w:color w:val="2E74B5"/>
          <w:u w:val="single"/>
        </w:rPr>
        <w:t>https://research.weill.cornell.edu/sites/default/files/policy_forms/wcm_clinicaltrials.gov_protocol_and_sap_upload_and_redaction_guidance_v1.0_11.9.19.pdf</w:t>
      </w:r>
      <w:r>
        <w:rPr>
          <w:color w:val="2E74B5"/>
          <w:u w:val="single"/>
        </w:rPr>
        <w:fldChar w:fldCharType="end"/>
      </w:r>
    </w:p>
    <w:p w14:paraId="26CC84F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Protocol/SAP disclosure and redaction workflow dependencies</w:t>
      </w:r>
    </w:p>
    <w:p w14:paraId="33BA03BC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81. [ADOC-022] ISCB Clinical Trial Protocol Template. </w:t>
      </w:r>
      <w:r>
        <w:rPr>
          <w:rFonts w:ascii="Aptos" w:hAnsi="Aptos" w:eastAsia="等线"/>
          <w:b w:val="0"/>
          <w:sz w:val="21"/>
        </w:rPr>
        <w:t>International Society for Clinical Biostatistics, 2016。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"https://www.iscb.international/files/folders/sira_files/protocol_template_05feb2016_508.pdf" \h </w:instrText>
      </w:r>
      <w:r>
        <w:fldChar w:fldCharType="separate"/>
      </w:r>
      <w:r>
        <w:rPr>
          <w:color w:val="2E74B5"/>
          <w:u w:val="single"/>
        </w:rPr>
        <w:t>https://www.iscb.international/files/folders/sira_files/protocol_template_05feb2016_508.pdf</w:t>
      </w:r>
      <w:r>
        <w:rPr>
          <w:color w:val="2E74B5"/>
          <w:u w:val="single"/>
        </w:rPr>
        <w:fldChar w:fldCharType="end"/>
      </w:r>
    </w:p>
    <w:p w14:paraId="6FBDFB2D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Additional public protocol template for unit catalog validation</w:t>
      </w:r>
    </w:p>
    <w:p w14:paraId="2BDFA6AA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82. [ADOC-023] NIA Informed Consent Checklist. </w:t>
      </w:r>
      <w:r>
        <w:rPr>
          <w:rFonts w:ascii="Aptos" w:hAnsi="Aptos" w:eastAsia="等线"/>
          <w:b w:val="0"/>
          <w:sz w:val="21"/>
        </w:rPr>
        <w:t>National Institute on Aging, 2008。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"https://www.nia.nih.gov/sites/default/files/2017-06/informed_consent_checklist_1_14_08_updated%20%281%29.doc" \h </w:instrText>
      </w:r>
      <w:r>
        <w:fldChar w:fldCharType="separate"/>
      </w:r>
      <w:r>
        <w:rPr>
          <w:color w:val="2E74B5"/>
          <w:u w:val="single"/>
        </w:rPr>
        <w:t>https://www.nia.nih.gov/sites/default/files/2017-06/informed_consent_checklist_1_14_08_updated%20%281%29.doc</w:t>
      </w:r>
      <w:r>
        <w:rPr>
          <w:color w:val="2E74B5"/>
          <w:u w:val="single"/>
        </w:rPr>
        <w:fldChar w:fldCharType="end"/>
      </w:r>
    </w:p>
    <w:p w14:paraId="5422F1A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ICF element checklist for deterministic consent unit tests</w:t>
      </w:r>
    </w:p>
    <w:p w14:paraId="2B37CC76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83. [ADOC-024] ClinicalTrials.gov sample informed consent document. </w:t>
      </w:r>
      <w:r>
        <w:rPr>
          <w:rFonts w:ascii="Aptos" w:hAnsi="Aptos" w:eastAsia="等线"/>
          <w:b w:val="0"/>
          <w:sz w:val="21"/>
        </w:rPr>
        <w:t>ClinicalTrials.gov, 2017。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"https://cdn.clinicaltrials.gov/large-docs/95/NCT01873495/ICF_001.pdf" \h </w:instrText>
      </w:r>
      <w:r>
        <w:fldChar w:fldCharType="separate"/>
      </w:r>
      <w:r>
        <w:rPr>
          <w:color w:val="2E74B5"/>
          <w:u w:val="single"/>
        </w:rPr>
        <w:t>https://cdn.clinicaltrials.gov/large-docs/95/NCT01873495/ICF_001.pdf</w:t>
      </w:r>
      <w:r>
        <w:rPr>
          <w:color w:val="2E74B5"/>
          <w:u w:val="single"/>
        </w:rPr>
        <w:fldChar w:fldCharType="end"/>
      </w:r>
    </w:p>
    <w:p w14:paraId="4317168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example of ICF structure and participant-facing phrasing</w:t>
      </w:r>
    </w:p>
    <w:p w14:paraId="1153C85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84. [M4-01] CTIMPs Protocol Development Tool. </w:t>
      </w:r>
      <w:r>
        <w:rPr>
          <w:rFonts w:ascii="Aptos" w:hAnsi="Aptos" w:eastAsia="等线"/>
          <w:b w:val="0"/>
          <w:sz w:val="21"/>
        </w:rPr>
        <w:t>UK Health Research Authority,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"https://www.hra.nhs.uk/documents/5771/ctimp-protocol-development-tool_Apr_2026.docx" \h </w:instrText>
      </w:r>
      <w:r>
        <w:fldChar w:fldCharType="separate"/>
      </w:r>
      <w:r>
        <w:rPr>
          <w:color w:val="2E74B5"/>
          <w:u w:val="single"/>
        </w:rPr>
        <w:t>https://www.hra.nhs.uk/documents/5771/ctimp-protocol-development-tool_Apr_2026.docx</w:t>
      </w:r>
      <w:r>
        <w:rPr>
          <w:color w:val="2E74B5"/>
          <w:u w:val="single"/>
        </w:rPr>
        <w:fldChar w:fldCharType="end"/>
      </w:r>
    </w:p>
    <w:p w14:paraId="31BD1D7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药物临床试验方案编写模板</w:t>
      </w:r>
    </w:p>
    <w:p w14:paraId="00F89FD4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85. [M4-02] Model Consent Template when NIH is the Lead Site. </w:t>
      </w:r>
      <w:r>
        <w:rPr>
          <w:rFonts w:ascii="Aptos" w:hAnsi="Aptos" w:eastAsia="等线"/>
          <w:b w:val="0"/>
          <w:sz w:val="21"/>
        </w:rPr>
        <w:t>NIH IRBO,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"https://irbo.nih.gov/documents/317/2026_01_26__Model_Consent_Template_when_NIH_is_the_Lead_Site_v9.docx" \h </w:instrText>
      </w:r>
      <w:r>
        <w:fldChar w:fldCharType="separate"/>
      </w:r>
      <w:r>
        <w:rPr>
          <w:color w:val="2E74B5"/>
          <w:u w:val="single"/>
        </w:rPr>
        <w:t>https://irbo.nih.gov/documents/317/2026_01_26__Model_Consent_Template_when_NIH_is_the_Lead_Site_v9.docx</w:t>
      </w:r>
      <w:r>
        <w:rPr>
          <w:color w:val="2E74B5"/>
          <w:u w:val="single"/>
        </w:rPr>
        <w:fldChar w:fldCharType="end"/>
      </w:r>
    </w:p>
    <w:p w14:paraId="1E9285E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多中心研究知情同意书框架</w:t>
      </w:r>
    </w:p>
    <w:p w14:paraId="13AE82A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86. [M4-03] NIMH Documentation of Informed Consent Template. </w:t>
      </w:r>
      <w:r>
        <w:rPr>
          <w:rFonts w:ascii="Aptos" w:hAnsi="Aptos" w:eastAsia="等线"/>
          <w:b w:val="0"/>
          <w:sz w:val="21"/>
        </w:rPr>
        <w:t>NIH/NIMH, 当前官网。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"https://www.nimh.nih.gov/sites/default/files/documents/funding/clinical-research/clinical-research-toolbox/documents/nimh_documentation_of_informed_consent_template_v1_july_2019.docx" \h </w:instrText>
      </w:r>
      <w:r>
        <w:fldChar w:fldCharType="separate"/>
      </w:r>
      <w:r>
        <w:rPr>
          <w:color w:val="2E74B5"/>
          <w:u w:val="single"/>
        </w:rPr>
        <w:t>https://www.nimh.nih.gov/sites/default/files/documents/funding/clinical-research/clinical-research-toolbox/documents/nimh_documentation_of_informed_consent_template_v1_july_2019.docx</w:t>
      </w:r>
      <w:r>
        <w:rPr>
          <w:color w:val="2E74B5"/>
          <w:u w:val="single"/>
        </w:rPr>
        <w:fldChar w:fldCharType="end"/>
      </w:r>
    </w:p>
    <w:p w14:paraId="7296C82D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知情同意过程记录模板</w:t>
      </w:r>
    </w:p>
    <w:p w14:paraId="15D08A7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87. [M4-04] Statistical Analysis Plan Policy. </w:t>
      </w:r>
      <w:r>
        <w:rPr>
          <w:rFonts w:ascii="Aptos" w:hAnsi="Aptos" w:eastAsia="等线"/>
          <w:b w:val="0"/>
          <w:sz w:val="21"/>
        </w:rPr>
        <w:t>NIH/NIAID, 当前官网。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"https://www.niaid.nih.gov/sites/default/files/statistical-analysis-plan.pdf" \h </w:instrText>
      </w:r>
      <w:r>
        <w:fldChar w:fldCharType="separate"/>
      </w:r>
      <w:r>
        <w:rPr>
          <w:color w:val="2E74B5"/>
          <w:u w:val="single"/>
        </w:rPr>
        <w:t>https://www.niaid.nih.gov/sites/default/files/statistical-analysis-plan.pdf</w:t>
      </w:r>
      <w:r>
        <w:rPr>
          <w:color w:val="2E74B5"/>
          <w:u w:val="single"/>
        </w:rPr>
        <w:fldChar w:fldCharType="end"/>
      </w:r>
    </w:p>
    <w:p w14:paraId="4B24FB0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SAP起草、定稿和变更管理要求</w:t>
      </w:r>
    </w:p>
    <w:p w14:paraId="1616599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88. [M4-05] Qualitative Protocol Development Tool. </w:t>
      </w:r>
      <w:r>
        <w:rPr>
          <w:rFonts w:ascii="Aptos" w:hAnsi="Aptos" w:eastAsia="等线"/>
          <w:b w:val="0"/>
          <w:sz w:val="21"/>
        </w:rPr>
        <w:t>UK Health Research Authority, 当前官网。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"https://www.hra.nhs.uk/documents/324/qualitative-protocol-development-tool.docx" \h </w:instrText>
      </w:r>
      <w:r>
        <w:fldChar w:fldCharType="separate"/>
      </w:r>
      <w:r>
        <w:rPr>
          <w:color w:val="2E74B5"/>
          <w:u w:val="single"/>
        </w:rPr>
        <w:t>https://www.hra.nhs.uk/documents/324/qualitative-protocol-development-tool.docx</w:t>
      </w:r>
      <w:r>
        <w:rPr>
          <w:color w:val="2E74B5"/>
          <w:u w:val="single"/>
        </w:rPr>
        <w:fldChar w:fldCharType="end"/>
      </w:r>
    </w:p>
    <w:p w14:paraId="1B169D9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定性研究方案编写框架</w:t>
      </w:r>
    </w:p>
    <w:p w14:paraId="5B5F338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89. [MED-002] ICH M11 Clinical electronic Structured Harmonised Protocol CeSHarP final template. </w:t>
      </w:r>
      <w:r>
        <w:rPr>
          <w:rFonts w:ascii="Aptos" w:hAnsi="Aptos" w:eastAsia="等线"/>
          <w:b w:val="0"/>
          <w:sz w:val="21"/>
        </w:rPr>
        <w:t>ICH,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"https://database.ich.org/sites/default/files/ICH_Step4_M11_Final_Template_2025_1119.pdf" \h </w:instrText>
      </w:r>
      <w:r>
        <w:fldChar w:fldCharType="separate"/>
      </w:r>
      <w:r>
        <w:rPr>
          <w:color w:val="2E74B5"/>
          <w:u w:val="single"/>
        </w:rPr>
        <w:t>https://database.ich.org/sites/default/files/ICH_Step4_M11_Final_Template_2025_1119.pdf</w:t>
      </w:r>
      <w:r>
        <w:rPr>
          <w:color w:val="2E74B5"/>
          <w:u w:val="single"/>
        </w:rPr>
        <w:fldChar w:fldCharType="end"/>
      </w:r>
    </w:p>
    <w:p w14:paraId="2E1D187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protocol section structure and document unit mapping</w:t>
      </w:r>
    </w:p>
    <w:p w14:paraId="666EE19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90. [MED-012] Clinical Trial Protocol Template. </w:t>
      </w:r>
      <w:r>
        <w:rPr>
          <w:rFonts w:ascii="Aptos" w:hAnsi="Aptos" w:eastAsia="等线"/>
          <w:b w:val="0"/>
          <w:sz w:val="21"/>
        </w:rPr>
        <w:t>NIH-FDA, 2021。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"https://www.fda.gov/media/152143/download" \h </w:instrText>
      </w:r>
      <w:r>
        <w:fldChar w:fldCharType="separate"/>
      </w:r>
      <w:r>
        <w:rPr>
          <w:color w:val="2E74B5"/>
          <w:u w:val="single"/>
        </w:rPr>
        <w:t>https://www.fda.gov/media/152143/download</w:t>
      </w:r>
      <w:r>
        <w:rPr>
          <w:color w:val="2E74B5"/>
          <w:u w:val="single"/>
        </w:rPr>
        <w:fldChar w:fldCharType="end"/>
      </w:r>
    </w:p>
    <w:p w14:paraId="3B5BE65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clinical trial protocol template</w:t>
      </w:r>
    </w:p>
    <w:p w14:paraId="17A6467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91. [SOA-001] SPIRIT schedule of enrolment, interventions, and assessments template. </w:t>
      </w:r>
      <w:r>
        <w:rPr>
          <w:rFonts w:ascii="Aptos" w:hAnsi="Aptos" w:eastAsia="等线"/>
          <w:b w:val="0"/>
          <w:sz w:val="21"/>
        </w:rPr>
        <w:t>SPIRIT Statement, 2013。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"https://www.spirit-statement.org/wp-content/uploads/2013/01/SPIRIT-Figure.doc" \h </w:instrText>
      </w:r>
      <w:r>
        <w:fldChar w:fldCharType="separate"/>
      </w:r>
      <w:r>
        <w:rPr>
          <w:color w:val="2E74B5"/>
          <w:u w:val="single"/>
        </w:rPr>
        <w:t>https://www.spirit-statement.org/wp-content/uploads/2013/01/SPIRIT-Figure.doc</w:t>
      </w:r>
      <w:r>
        <w:rPr>
          <w:color w:val="2E74B5"/>
          <w:u w:val="single"/>
        </w:rPr>
        <w:fldChar w:fldCharType="end"/>
      </w:r>
    </w:p>
    <w:p w14:paraId="4242EDB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Canonical schedule of enrolment/interventions/assessments table</w:t>
      </w:r>
    </w:p>
    <w:p w14:paraId="083B7BE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92. [SOA-002] CONSORT-SPIRIT participant timeline explanation. </w:t>
      </w:r>
      <w:r>
        <w:rPr>
          <w:rFonts w:ascii="Aptos" w:hAnsi="Aptos" w:eastAsia="等线"/>
          <w:b w:val="0"/>
          <w:sz w:val="21"/>
        </w:rPr>
        <w:t>CONSORT-SPIRIT,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"https://www.consort-spirit.org/item18-participanttimeline" \h </w:instrText>
      </w:r>
      <w:r>
        <w:fldChar w:fldCharType="separate"/>
      </w:r>
      <w:r>
        <w:rPr>
          <w:color w:val="2E74B5"/>
          <w:u w:val="single"/>
        </w:rPr>
        <w:t>https://www.consort-spirit.org/item18-participanttimeline</w:t>
      </w:r>
      <w:r>
        <w:rPr>
          <w:color w:val="2E74B5"/>
          <w:u w:val="single"/>
        </w:rPr>
        <w:fldChar w:fldCharType="end"/>
      </w:r>
    </w:p>
    <w:p w14:paraId="2922243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Rationale for participant timeline, visit schedule and burden checks</w:t>
      </w:r>
    </w:p>
    <w:p w14:paraId="034C9AB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93. [SOA-003] BU Schedule of Events tool. </w:t>
      </w:r>
      <w:r>
        <w:rPr>
          <w:rFonts w:ascii="Aptos" w:hAnsi="Aptos" w:eastAsia="等线"/>
          <w:b w:val="0"/>
          <w:sz w:val="21"/>
        </w:rPr>
        <w:t>Boston University Medical Campus, 2023。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"https://www.bumc.bu.edu/crro/files/2023/09/CRRO-Tool_Schedule-of-Events_9122023.docx" \h </w:instrText>
      </w:r>
      <w:r>
        <w:fldChar w:fldCharType="separate"/>
      </w:r>
      <w:r>
        <w:rPr>
          <w:color w:val="2E74B5"/>
          <w:u w:val="single"/>
        </w:rPr>
        <w:t>https://www.bumc.bu.edu/crro/files/2023/09/CRRO-Tool_Schedule-of-Events_9122023.docx</w:t>
      </w:r>
      <w:r>
        <w:rPr>
          <w:color w:val="2E74B5"/>
          <w:u w:val="single"/>
        </w:rPr>
        <w:fldChar w:fldCharType="end"/>
      </w:r>
    </w:p>
    <w:p w14:paraId="3F7FA2B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Schedule-of-events table template for protocol and manual of procedures</w:t>
      </w:r>
    </w:p>
    <w:p w14:paraId="102E4A0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94. [SOA-004] Allina Health instructions for the Schedule of Events. </w:t>
      </w:r>
      <w:r>
        <w:rPr>
          <w:rFonts w:ascii="Aptos" w:hAnsi="Aptos" w:eastAsia="等线"/>
          <w:b w:val="0"/>
          <w:sz w:val="21"/>
        </w:rPr>
        <w:t>Allina Health,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"https://www.allinahealth.org/-/media/allina-health/files/for-medical-professionals/instructions-for-the-schedule-of-events.doc" \h </w:instrText>
      </w:r>
      <w:r>
        <w:fldChar w:fldCharType="separate"/>
      </w:r>
      <w:r>
        <w:rPr>
          <w:color w:val="2E74B5"/>
          <w:u w:val="single"/>
        </w:rPr>
        <w:t>https://www.allinahealth.org/-/media/allina-health/files/for-medical-professionals/instructions-for-the-schedule-of-events.doc</w:t>
      </w:r>
      <w:r>
        <w:rPr>
          <w:color w:val="2E74B5"/>
          <w:u w:val="single"/>
        </w:rPr>
        <w:fldChar w:fldCharType="end"/>
      </w:r>
    </w:p>
    <w:p w14:paraId="40D6F66C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Practical schedule-of-events instructions and protocol care-plan mapping</w:t>
      </w:r>
    </w:p>
    <w:p w14:paraId="1E35238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95. [SOA-005] UAB simplified clinical trial protocol template. </w:t>
      </w:r>
      <w:r>
        <w:rPr>
          <w:rFonts w:ascii="Aptos" w:hAnsi="Aptos" w:eastAsia="等线"/>
          <w:b w:val="0"/>
          <w:sz w:val="21"/>
        </w:rPr>
        <w:t>University of Alabama at Birmingham,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"https://www.uab.edu/ccts/images/kiosk/Simplified_clinical_trial_protocol_template.docx" \h </w:instrText>
      </w:r>
      <w:r>
        <w:fldChar w:fldCharType="separate"/>
      </w:r>
      <w:r>
        <w:rPr>
          <w:color w:val="2E74B5"/>
          <w:u w:val="single"/>
        </w:rPr>
        <w:t>https://www.uab.edu/ccts/images/kiosk/Simplified_clinical_trial_protocol_template.docx</w:t>
      </w:r>
      <w:r>
        <w:rPr>
          <w:color w:val="2E74B5"/>
          <w:u w:val="single"/>
        </w:rPr>
        <w:fldChar w:fldCharType="end"/>
      </w:r>
    </w:p>
    <w:p w14:paraId="2F2B12D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template containing Schedule of Activities section</w:t>
      </w:r>
    </w:p>
    <w:p w14:paraId="66D0B7F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96. [SOA-006] UAB all clinical trial templates and tools. </w:t>
      </w:r>
      <w:r>
        <w:rPr>
          <w:rFonts w:ascii="Aptos" w:hAnsi="Aptos" w:eastAsia="等线"/>
          <w:b w:val="0"/>
          <w:sz w:val="21"/>
        </w:rPr>
        <w:t>University of Alabama at Birmingham,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"https://www.uab.edu/ccts/clinical-trials-kiosk/all-templates-and-tools" \h </w:instrText>
      </w:r>
      <w:r>
        <w:fldChar w:fldCharType="separate"/>
      </w:r>
      <w:r>
        <w:rPr>
          <w:color w:val="2E74B5"/>
          <w:u w:val="single"/>
        </w:rPr>
        <w:t>https://www.uab.edu/ccts/clinical-trials-kiosk/all-templates-and-tools</w:t>
      </w:r>
      <w:r>
        <w:rPr>
          <w:color w:val="2E74B5"/>
          <w:u w:val="single"/>
        </w:rPr>
        <w:fldChar w:fldCharType="end"/>
      </w:r>
    </w:p>
    <w:p w14:paraId="2CFBDA6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Protocol-driven source document and schedule-of-activities workflow context</w:t>
      </w:r>
    </w:p>
    <w:p w14:paraId="6603F68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97. [SOA-007] Automated protocol templates with efficient schedule of activities. </w:t>
      </w:r>
      <w:r>
        <w:rPr>
          <w:rFonts w:ascii="Aptos" w:hAnsi="Aptos" w:eastAsia="等线"/>
          <w:b w:val="0"/>
          <w:sz w:val="21"/>
        </w:rPr>
        <w:t>PMC,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"https://pmc.ncbi.nlm.nih.gov/articles/PMC12167819/" \h </w:instrText>
      </w:r>
      <w:r>
        <w:fldChar w:fldCharType="separate"/>
      </w:r>
      <w:r>
        <w:rPr>
          <w:color w:val="2E74B5"/>
          <w:u w:val="single"/>
        </w:rPr>
        <w:t>https://pmc.ncbi.nlm.nih.gov/articles/PMC12167819/</w:t>
      </w:r>
      <w:r>
        <w:rPr>
          <w:color w:val="2E74B5"/>
          <w:u w:val="single"/>
        </w:rPr>
        <w:fldChar w:fldCharType="end"/>
      </w:r>
    </w:p>
    <w:p w14:paraId="549AD5BD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Method evidence for automated protocol templates and SoA generation</w:t>
      </w:r>
    </w:p>
    <w:p w14:paraId="496B6B5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98. [SOA-008] SPIRIT 2025 statement updated guideline for protocols. </w:t>
      </w:r>
      <w:r>
        <w:rPr>
          <w:rFonts w:ascii="Aptos" w:hAnsi="Aptos" w:eastAsia="等线"/>
          <w:b w:val="0"/>
          <w:sz w:val="21"/>
        </w:rPr>
        <w:t>PMC,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"https://pmc.ncbi.nlm.nih.gov/articles/PMC12035670/" \h </w:instrText>
      </w:r>
      <w:r>
        <w:fldChar w:fldCharType="separate"/>
      </w:r>
      <w:r>
        <w:rPr>
          <w:color w:val="2E74B5"/>
          <w:u w:val="single"/>
        </w:rPr>
        <w:t>https://pmc.ncbi.nlm.nih.gov/articles/PMC12035670/</w:t>
      </w:r>
      <w:r>
        <w:rPr>
          <w:color w:val="2E74B5"/>
          <w:u w:val="single"/>
        </w:rPr>
        <w:fldChar w:fldCharType="end"/>
      </w:r>
    </w:p>
    <w:p w14:paraId="3071503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Updated SPIRIT checklist and participant timeline context</w:t>
      </w:r>
    </w:p>
    <w:p w14:paraId="55B096A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99. [SOA-009] ClinicalTrials.gov public protocol with schedule of activities. </w:t>
      </w:r>
      <w:r>
        <w:rPr>
          <w:rFonts w:ascii="Aptos" w:hAnsi="Aptos" w:eastAsia="等线"/>
          <w:b w:val="0"/>
          <w:sz w:val="21"/>
        </w:rPr>
        <w:t>ClinicalTrials.gov, 2019。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"https://cdn.clinicaltrials.gov/large-docs/86/NCT04671186/Prot_SAP_000.pdf" \h </w:instrText>
      </w:r>
      <w:r>
        <w:fldChar w:fldCharType="separate"/>
      </w:r>
      <w:r>
        <w:rPr>
          <w:color w:val="2E74B5"/>
          <w:u w:val="single"/>
        </w:rPr>
        <w:t>https://cdn.clinicaltrials.gov/large-docs/86/NCT04671186/Prot_SAP_000.pdf</w:t>
      </w:r>
      <w:r>
        <w:rPr>
          <w:color w:val="2E74B5"/>
          <w:u w:val="single"/>
        </w:rPr>
        <w:fldChar w:fldCharType="end"/>
      </w:r>
    </w:p>
    <w:p w14:paraId="07BA16F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example of protocol and SAP containing SoA section</w:t>
      </w:r>
    </w:p>
    <w:p w14:paraId="6A90D75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100. [SOA-010] SPIRIT-PRO protocol template. </w:t>
      </w:r>
      <w:r>
        <w:rPr>
          <w:rFonts w:ascii="Aptos" w:hAnsi="Aptos" w:eastAsia="等线"/>
          <w:b w:val="0"/>
          <w:sz w:val="21"/>
        </w:rPr>
        <w:t>The PROTEUS Consortium, 2023。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"https://theproteusconsortium.org/wp-content/uploads/2023/02/230220-SPIRIT-PRO-PROtocol-template.pdf" \h </w:instrText>
      </w:r>
      <w:r>
        <w:fldChar w:fldCharType="separate"/>
      </w:r>
      <w:r>
        <w:rPr>
          <w:color w:val="2E74B5"/>
          <w:u w:val="single"/>
        </w:rPr>
        <w:t>https://theproteusconsortium.org/wp-content/uploads/2023/02/230220-SPIRIT-PRO-PROtocol-template.pdf</w:t>
      </w:r>
      <w:r>
        <w:rPr>
          <w:color w:val="2E74B5"/>
          <w:u w:val="single"/>
        </w:rPr>
        <w:fldChar w:fldCharType="end"/>
      </w:r>
    </w:p>
    <w:p w14:paraId="0A91A60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 assessment schedule and time-window requirements</w:t>
      </w:r>
    </w:p>
    <w:p w14:paraId="013146AA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101. [STD-001] Clinical Content and Reuse Assets Clinical Studies. </w:t>
      </w:r>
      <w:r>
        <w:rPr>
          <w:rFonts w:ascii="Aptos" w:hAnsi="Aptos" w:eastAsia="等线"/>
          <w:b w:val="0"/>
          <w:sz w:val="21"/>
        </w:rPr>
        <w:t>TransCelerate BioPharma,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"https://www.transceleratebiopharmainc.com/assets/clinical-content-reuse-solutions/" \h </w:instrText>
      </w:r>
      <w:r>
        <w:fldChar w:fldCharType="separate"/>
      </w:r>
      <w:r>
        <w:rPr>
          <w:color w:val="2E74B5"/>
          <w:u w:val="single"/>
        </w:rPr>
        <w:t>https://www.transceleratebiopharmainc.com/assets/clinical-content-reuse-solutions/</w:t>
      </w:r>
      <w:r>
        <w:rPr>
          <w:color w:val="2E74B5"/>
          <w:u w:val="single"/>
        </w:rPr>
        <w:fldChar w:fldCharType="end"/>
      </w:r>
    </w:p>
    <w:p w14:paraId="00D582A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Common Protocol Template SAP and CSR template ecosystem</w:t>
      </w:r>
    </w:p>
    <w:p w14:paraId="06584E6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102. [STD-009] Protocol Templates for Clinical Trials. </w:t>
      </w:r>
      <w:r>
        <w:rPr>
          <w:rFonts w:ascii="Aptos" w:hAnsi="Aptos" w:eastAsia="等线"/>
          <w:b w:val="0"/>
          <w:sz w:val="21"/>
        </w:rPr>
        <w:t>NIH,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"https://grants.nih.gov/policy-and-compliance/policy-topics/clinical-trials/protocol-template" \h </w:instrText>
      </w:r>
      <w:r>
        <w:fldChar w:fldCharType="separate"/>
      </w:r>
      <w:r>
        <w:rPr>
          <w:color w:val="2E74B5"/>
          <w:u w:val="single"/>
        </w:rPr>
        <w:t>https://grants.nih.gov/policy-and-compliance/policy-topics/clinical-trials/protocol-template</w:t>
      </w:r>
      <w:r>
        <w:rPr>
          <w:color w:val="2E74B5"/>
          <w:u w:val="single"/>
        </w:rPr>
        <w:fldChar w:fldCharType="end"/>
      </w:r>
    </w:p>
    <w:p w14:paraId="71DCA62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NIH page for clinical trial protocol templates and e-protocol tool</w:t>
      </w:r>
    </w:p>
    <w:p w14:paraId="1FE2404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103. [STD-010] Protocol Templates. </w:t>
      </w:r>
      <w:r>
        <w:rPr>
          <w:rFonts w:ascii="Aptos" w:hAnsi="Aptos" w:eastAsia="等线"/>
          <w:b w:val="0"/>
          <w:sz w:val="21"/>
        </w:rPr>
        <w:t>University of Wisconsin IRB,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"https://irb.wisc.edu/manual/investigator-manual/irb-review-requirements-and-application-types/human-research-requiring-a-protocol/protocol-templates/" \h </w:instrText>
      </w:r>
      <w:r>
        <w:fldChar w:fldCharType="separate"/>
      </w:r>
      <w:r>
        <w:rPr>
          <w:color w:val="2E74B5"/>
          <w:u w:val="single"/>
        </w:rPr>
        <w:t>https://irb.wisc.edu/manual/investigator-manual/irb-review-requirements-and-application-types/human-research-requiring-a-protocol/protocol-templates/</w:t>
      </w:r>
      <w:r>
        <w:rPr>
          <w:color w:val="2E74B5"/>
          <w:u w:val="single"/>
        </w:rPr>
        <w:fldChar w:fldCharType="end"/>
      </w:r>
    </w:p>
    <w:p w14:paraId="4E62C0E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list of protocol templates including NIH and NCI references</w:t>
      </w:r>
    </w:p>
    <w:p w14:paraId="5C53558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104. [STD-011] Diversity Inclusion and Equity Overlay for TransCelerate Common Protocol Template. </w:t>
      </w:r>
      <w:r>
        <w:rPr>
          <w:rFonts w:ascii="Aptos" w:hAnsi="Aptos" w:eastAsia="等线"/>
          <w:b w:val="0"/>
          <w:sz w:val="21"/>
        </w:rPr>
        <w:t>MRCT Center, 2022。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"https://mrctcenter.org/resource/diversity-inclusion-and-equity-in-clinical-research-diversity-inclusion-overlay-transcelerates-common-protocol-template/" \h </w:instrText>
      </w:r>
      <w:r>
        <w:fldChar w:fldCharType="separate"/>
      </w:r>
      <w:r>
        <w:rPr>
          <w:color w:val="2E74B5"/>
          <w:u w:val="single"/>
        </w:rPr>
        <w:t>https://mrctcenter.org/resource/diversity-inclusion-and-equity-in-clinical-research-diversity-inclusion-overlay-transcelerates-common-protocol-template/</w:t>
      </w:r>
      <w:r>
        <w:rPr>
          <w:color w:val="2E74B5"/>
          <w:u w:val="single"/>
        </w:rPr>
        <w:fldChar w:fldCharType="end"/>
      </w:r>
    </w:p>
    <w:p w14:paraId="253B754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Shows how protocol templates can be extended by domain-specific overlays</w:t>
      </w:r>
    </w:p>
    <w:p w14:paraId="3EAA5638">
      <w:pPr>
        <w:pStyle w:val="3"/>
      </w:pPr>
      <w:r>
        <w:t>数据标准与结构化方案</w:t>
      </w:r>
    </w:p>
    <w:p w14:paraId="290524F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105. [STAND-013] CDISC Digital Data Flow for Clinical Trial Protocols. </w:t>
      </w:r>
      <w:r>
        <w:rPr>
          <w:rFonts w:ascii="Aptos" w:hAnsi="Aptos" w:eastAsia="等线"/>
          <w:b w:val="0"/>
          <w:sz w:val="21"/>
        </w:rPr>
        <w:t>CDISC,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"https://www.cdisc.org/ddf" \h </w:instrText>
      </w:r>
      <w:r>
        <w:fldChar w:fldCharType="separate"/>
      </w:r>
      <w:r>
        <w:rPr>
          <w:color w:val="2E74B5"/>
          <w:u w:val="single"/>
        </w:rPr>
        <w:t>https://www.cdisc.org/ddf</w:t>
      </w:r>
      <w:r>
        <w:rPr>
          <w:color w:val="2E74B5"/>
          <w:u w:val="single"/>
        </w:rPr>
        <w:fldChar w:fldCharType="end"/>
      </w:r>
    </w:p>
    <w:p w14:paraId="3D0A043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Standards evidence that clinical protocols are moving toward digital data flow and structured study definitions.</w:t>
      </w:r>
    </w:p>
    <w:p w14:paraId="503480A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106. [STAND-014] CDISC USDM Onboarding Package. </w:t>
      </w:r>
      <w:r>
        <w:rPr>
          <w:rFonts w:ascii="Aptos" w:hAnsi="Aptos" w:eastAsia="等线"/>
          <w:b w:val="0"/>
          <w:sz w:val="21"/>
        </w:rPr>
        <w:t>CDISC,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"https://www.cdisc.org/education/usdm-onboarding-package" \h </w:instrText>
      </w:r>
      <w:r>
        <w:fldChar w:fldCharType="separate"/>
      </w:r>
      <w:r>
        <w:rPr>
          <w:color w:val="2E74B5"/>
          <w:u w:val="single"/>
        </w:rPr>
        <w:t>https://www.cdisc.org/education/usdm-onboarding-package</w:t>
      </w:r>
      <w:r>
        <w:rPr>
          <w:color w:val="2E74B5"/>
          <w:u w:val="single"/>
        </w:rPr>
        <w:fldChar w:fldCharType="end"/>
      </w:r>
    </w:p>
    <w:p w14:paraId="268CBD0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USDM implementation support evidence for machine-readable study definition adoption.</w:t>
      </w:r>
    </w:p>
    <w:p w14:paraId="7A596CE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107. [STAND-015] CDISC USDM GitHub Package. </w:t>
      </w:r>
      <w:r>
        <w:rPr>
          <w:rFonts w:ascii="Aptos" w:hAnsi="Aptos" w:eastAsia="等线"/>
          <w:b w:val="0"/>
          <w:sz w:val="21"/>
        </w:rPr>
        <w:t>CDISC,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"https://github.com/cdisc-org/usdm" \h </w:instrText>
      </w:r>
      <w:r>
        <w:fldChar w:fldCharType="separate"/>
      </w:r>
      <w:r>
        <w:rPr>
          <w:color w:val="2E74B5"/>
          <w:u w:val="single"/>
        </w:rPr>
        <w:t>https://github.com/cdisc-org/usdm</w:t>
      </w:r>
      <w:r>
        <w:rPr>
          <w:color w:val="2E74B5"/>
          <w:u w:val="single"/>
        </w:rPr>
        <w:fldChar w:fldCharType="end"/>
      </w:r>
    </w:p>
    <w:p w14:paraId="1BE7025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Implementation reference for USDM deliverables and structured study definition models.</w:t>
      </w:r>
    </w:p>
    <w:p w14:paraId="4405403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108. [STAND-016] TransCelerate Digital Data Flow Initiative. </w:t>
      </w:r>
      <w:r>
        <w:rPr>
          <w:rFonts w:ascii="Aptos" w:hAnsi="Aptos" w:eastAsia="等线"/>
          <w:b w:val="0"/>
          <w:sz w:val="21"/>
        </w:rPr>
        <w:t>TransCelerate BioPharma,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"https://www.transceleratebiopharmainc.com/initiatives/digital-data-flow/" \h </w:instrText>
      </w:r>
      <w:r>
        <w:fldChar w:fldCharType="separate"/>
      </w:r>
      <w:r>
        <w:rPr>
          <w:color w:val="2E74B5"/>
          <w:u w:val="single"/>
        </w:rPr>
        <w:t>https://www.transceleratebiopharmainc.com/initiatives/digital-data-flow/</w:t>
      </w:r>
      <w:r>
        <w:rPr>
          <w:color w:val="2E74B5"/>
          <w:u w:val="single"/>
        </w:rPr>
        <w:fldChar w:fldCharType="end"/>
      </w:r>
    </w:p>
    <w:p w14:paraId="2567650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Industry evidence for moving from document-centric to data-centric clinical trial protocol digitalization.</w:t>
      </w:r>
    </w:p>
    <w:p w14:paraId="771CF88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109. [STD-002] Clinical Content and Reuse. </w:t>
      </w:r>
      <w:r>
        <w:rPr>
          <w:rFonts w:ascii="Aptos" w:hAnsi="Aptos" w:eastAsia="等线"/>
          <w:b w:val="0"/>
          <w:sz w:val="21"/>
        </w:rPr>
        <w:t>TransCelerate BioPharma,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"https://www.transceleratebiopharmainc.com/initiatives/clinical-content-reuse/" \h </w:instrText>
      </w:r>
      <w:r>
        <w:fldChar w:fldCharType="separate"/>
      </w:r>
      <w:r>
        <w:rPr>
          <w:color w:val="2E74B5"/>
          <w:u w:val="single"/>
        </w:rPr>
        <w:t>https://www.transceleratebiopharmainc.com/initiatives/clinical-content-reuse/</w:t>
      </w:r>
      <w:r>
        <w:rPr>
          <w:color w:val="2E74B5"/>
          <w:u w:val="single"/>
        </w:rPr>
        <w:fldChar w:fldCharType="end"/>
      </w:r>
    </w:p>
    <w:p w14:paraId="0039154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Harmonized model content across protocol SAP and CSR</w:t>
      </w:r>
    </w:p>
    <w:p w14:paraId="495E2B9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110. [STD-003] Common Protocol Template Now Available. </w:t>
      </w:r>
      <w:r>
        <w:rPr>
          <w:rFonts w:ascii="Aptos" w:hAnsi="Aptos" w:eastAsia="等线"/>
          <w:b w:val="0"/>
          <w:sz w:val="21"/>
        </w:rPr>
        <w:t>TransCelerate BioPharma, 2016。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"https://www.transceleratebiopharmainc.com/news-center/common-protocol-template-now-available/" \h </w:instrText>
      </w:r>
      <w:r>
        <w:fldChar w:fldCharType="separate"/>
      </w:r>
      <w:r>
        <w:rPr>
          <w:color w:val="2E74B5"/>
          <w:u w:val="single"/>
        </w:rPr>
        <w:t>https://www.transceleratebiopharmainc.com/news-center/common-protocol-template-now-available/</w:t>
      </w:r>
      <w:r>
        <w:rPr>
          <w:color w:val="2E74B5"/>
          <w:u w:val="single"/>
        </w:rPr>
        <w:fldChar w:fldCharType="end"/>
      </w:r>
    </w:p>
    <w:p w14:paraId="55F5A1A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History and availability of Common Protocol Template resources</w:t>
      </w:r>
    </w:p>
    <w:p w14:paraId="09616CA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111. [STD-004] CPT 101 An Introduction to the Common Protocol Template. </w:t>
      </w:r>
      <w:r>
        <w:rPr>
          <w:rFonts w:ascii="Aptos" w:hAnsi="Aptos" w:eastAsia="等线"/>
          <w:b w:val="0"/>
          <w:sz w:val="21"/>
        </w:rPr>
        <w:t>TransCelerate BioPharma, 2018。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"https://www.transceleratebiopharmainc.com/events/cpt-101-introduction-common-protocol-template-3/" \h </w:instrText>
      </w:r>
      <w:r>
        <w:fldChar w:fldCharType="separate"/>
      </w:r>
      <w:r>
        <w:rPr>
          <w:color w:val="2E74B5"/>
          <w:u w:val="single"/>
        </w:rPr>
        <w:t>https://www.transceleratebiopharmainc.com/events/cpt-101-introduction-common-protocol-template-3/</w:t>
      </w:r>
      <w:r>
        <w:rPr>
          <w:color w:val="2E74B5"/>
          <w:u w:val="single"/>
        </w:rPr>
        <w:fldChar w:fldCharType="end"/>
      </w:r>
    </w:p>
    <w:p w14:paraId="36A00FE6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Simple description of CPT as harmonized protocol format and content</w:t>
      </w:r>
    </w:p>
    <w:p w14:paraId="0C2E2273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112. [STD-005] PRM Protocol Representation Model. </w:t>
      </w:r>
      <w:r>
        <w:rPr>
          <w:rFonts w:ascii="Aptos" w:hAnsi="Aptos" w:eastAsia="等线"/>
          <w:b w:val="0"/>
          <w:sz w:val="21"/>
        </w:rPr>
        <w:t>CDISC,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"https://www.cdisc.org/standards/foundational/protocol" \h </w:instrText>
      </w:r>
      <w:r>
        <w:fldChar w:fldCharType="separate"/>
      </w:r>
      <w:r>
        <w:rPr>
          <w:color w:val="2E74B5"/>
          <w:u w:val="single"/>
        </w:rPr>
        <w:t>https://www.cdisc.org/standards/foundational/protocol</w:t>
      </w:r>
      <w:r>
        <w:rPr>
          <w:color w:val="2E74B5"/>
          <w:u w:val="single"/>
        </w:rPr>
        <w:fldChar w:fldCharType="end"/>
      </w:r>
    </w:p>
    <w:p w14:paraId="327FE4D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Standard for machine-readable protocol representation</w:t>
      </w:r>
    </w:p>
    <w:p w14:paraId="050384F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113. [STD-006] CDISC PRM Toolset v1. </w:t>
      </w:r>
      <w:r>
        <w:rPr>
          <w:rFonts w:ascii="Aptos" w:hAnsi="Aptos" w:eastAsia="等线"/>
          <w:b w:val="0"/>
          <w:sz w:val="21"/>
        </w:rPr>
        <w:t>CDISC,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"https://www.cdisc.org/cdisc-prm-toolset-v1.0" \h </w:instrText>
      </w:r>
      <w:r>
        <w:fldChar w:fldCharType="separate"/>
      </w:r>
      <w:r>
        <w:rPr>
          <w:color w:val="2E74B5"/>
          <w:u w:val="single"/>
        </w:rPr>
        <w:t>https://www.cdisc.org/cdisc-prm-toolset-v1.0</w:t>
      </w:r>
      <w:r>
        <w:rPr>
          <w:color w:val="2E74B5"/>
          <w:u w:val="single"/>
        </w:rPr>
        <w:fldChar w:fldCharType="end"/>
      </w:r>
    </w:p>
    <w:p w14:paraId="0223754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toolset for protocol representation model</w:t>
      </w:r>
    </w:p>
    <w:p w14:paraId="3AC3718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114. [STD-007] Trial Master File Standard. </w:t>
      </w:r>
      <w:r>
        <w:rPr>
          <w:rFonts w:ascii="Aptos" w:hAnsi="Aptos" w:eastAsia="等线"/>
          <w:b w:val="0"/>
          <w:sz w:val="21"/>
        </w:rPr>
        <w:t>CDISC,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"https://www.cdisc.org/tmf" \h </w:instrText>
      </w:r>
      <w:r>
        <w:fldChar w:fldCharType="separate"/>
      </w:r>
      <w:r>
        <w:rPr>
          <w:color w:val="2E74B5"/>
          <w:u w:val="single"/>
        </w:rPr>
        <w:t>https://www.cdisc.org/tmf</w:t>
      </w:r>
      <w:r>
        <w:rPr>
          <w:color w:val="2E74B5"/>
          <w:u w:val="single"/>
        </w:rPr>
        <w:fldChar w:fldCharType="end"/>
      </w:r>
    </w:p>
    <w:p w14:paraId="681F1FD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Standardized TMF structure and terminology for audit-ready trial documents</w:t>
      </w:r>
    </w:p>
    <w:p w14:paraId="280AA02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115. [STD-008] Trial Master File Reference Model. </w:t>
      </w:r>
      <w:r>
        <w:rPr>
          <w:rFonts w:ascii="Aptos" w:hAnsi="Aptos" w:eastAsia="等线"/>
          <w:b w:val="0"/>
          <w:sz w:val="21"/>
        </w:rPr>
        <w:t>CDISC,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"https://www.cdisc.org/standards/trial-master-file-reference-model" \h </w:instrText>
      </w:r>
      <w:r>
        <w:fldChar w:fldCharType="separate"/>
      </w:r>
      <w:r>
        <w:rPr>
          <w:color w:val="2E74B5"/>
          <w:u w:val="single"/>
        </w:rPr>
        <w:t>https://www.cdisc.org/standards/trial-master-file-reference-model</w:t>
      </w:r>
      <w:r>
        <w:rPr>
          <w:color w:val="2E74B5"/>
          <w:u w:val="single"/>
        </w:rPr>
        <w:fldChar w:fldCharType="end"/>
      </w:r>
    </w:p>
    <w:p w14:paraId="7CED908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TMF taxonomy and metadata source for document dependency and audit context</w:t>
      </w:r>
    </w:p>
    <w:p w14:paraId="6EC7C05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116. [STD-012] Developing generic templates to shape the future for conducting platform trials. </w:t>
      </w:r>
      <w:r>
        <w:rPr>
          <w:rFonts w:ascii="Aptos" w:hAnsi="Aptos" w:eastAsia="等线"/>
          <w:b w:val="0"/>
          <w:sz w:val="21"/>
        </w:rPr>
        <w:t>PMC,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"https://pmc.ncbi.nlm.nih.gov/articles/PMC10956223/" \h </w:instrText>
      </w:r>
      <w:r>
        <w:fldChar w:fldCharType="separate"/>
      </w:r>
      <w:r>
        <w:rPr>
          <w:color w:val="2E74B5"/>
          <w:u w:val="single"/>
        </w:rPr>
        <w:t>https://pmc.ncbi.nlm.nih.gov/articles/PMC10956223/</w:t>
      </w:r>
      <w:r>
        <w:rPr>
          <w:color w:val="2E74B5"/>
          <w:u w:val="single"/>
        </w:rPr>
        <w:fldChar w:fldCharType="end"/>
      </w:r>
    </w:p>
    <w:p w14:paraId="6BA5902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evidence for template standardization and platform-trial template design</w:t>
      </w:r>
    </w:p>
    <w:p w14:paraId="6E715D40">
      <w:pPr>
        <w:pStyle w:val="3"/>
      </w:pPr>
      <w:r>
        <w:t>人工智能方法、不确定性、可解释性与治理</w:t>
      </w:r>
    </w:p>
    <w:p w14:paraId="7EEAE88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117. [AI-001] From RAGs to riches: Using large language models to write documents for clinical trials. </w:t>
      </w:r>
      <w:r>
        <w:rPr>
          <w:rFonts w:ascii="Aptos" w:hAnsi="Aptos" w:eastAsia="等线"/>
          <w:b w:val="0"/>
          <w:sz w:val="21"/>
        </w:rPr>
        <w:t>arXiv,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"https://arxiv.org/pdf/2402.16406" \h </w:instrText>
      </w:r>
      <w:r>
        <w:fldChar w:fldCharType="separate"/>
      </w:r>
      <w:r>
        <w:rPr>
          <w:color w:val="2E74B5"/>
          <w:u w:val="single"/>
        </w:rPr>
        <w:t>https://arxiv.org/pdf/2402.16406</w:t>
      </w:r>
      <w:r>
        <w:rPr>
          <w:color w:val="2E74B5"/>
          <w:u w:val="single"/>
        </w:rPr>
        <w:fldChar w:fldCharType="end"/>
      </w:r>
    </w:p>
    <w:p w14:paraId="3AD59A5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LLM and RAG baseline for clinical trial document authoring</w:t>
      </w:r>
    </w:p>
    <w:p w14:paraId="77160753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118. [AI-002] Clinical Trials Protocol Authoring using LLMs. </w:t>
      </w:r>
      <w:r>
        <w:rPr>
          <w:rFonts w:ascii="Aptos" w:hAnsi="Aptos" w:eastAsia="等线"/>
          <w:b w:val="0"/>
          <w:sz w:val="21"/>
        </w:rPr>
        <w:t>arXiv,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"https://arxiv.org/pdf/2404.05044" \h </w:instrText>
      </w:r>
      <w:r>
        <w:fldChar w:fldCharType="separate"/>
      </w:r>
      <w:r>
        <w:rPr>
          <w:color w:val="2E74B5"/>
          <w:u w:val="single"/>
        </w:rPr>
        <w:t>https://arxiv.org/pdf/2404.05044</w:t>
      </w:r>
      <w:r>
        <w:rPr>
          <w:color w:val="2E74B5"/>
          <w:u w:val="single"/>
        </w:rPr>
        <w:fldChar w:fldCharType="end"/>
      </w:r>
    </w:p>
    <w:p w14:paraId="29095FA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authoring baseline and LLM workflow comparison</w:t>
      </w:r>
    </w:p>
    <w:p w14:paraId="3A1411E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119. [AI-003] Large Language Models for Clinical Trial Protocol Assessments. </w:t>
      </w:r>
      <w:r>
        <w:rPr>
          <w:rFonts w:ascii="Aptos" w:hAnsi="Aptos" w:eastAsia="等线"/>
          <w:b w:val="0"/>
          <w:sz w:val="21"/>
        </w:rPr>
        <w:t>PMC,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"https://pmc.ncbi.nlm.nih.gov/articles/PMC12816432/" \h </w:instrText>
      </w:r>
      <w:r>
        <w:fldChar w:fldCharType="separate"/>
      </w:r>
      <w:r>
        <w:rPr>
          <w:color w:val="2E74B5"/>
          <w:u w:val="single"/>
        </w:rPr>
        <w:t>https://pmc.ncbi.nlm.nih.gov/articles/PMC12816432/</w:t>
      </w:r>
      <w:r>
        <w:rPr>
          <w:color w:val="2E74B5"/>
          <w:u w:val="single"/>
        </w:rPr>
        <w:fldChar w:fldCharType="end"/>
      </w:r>
    </w:p>
    <w:p w14:paraId="1D71F04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Evidence that LLMs can assess SAP and protocol-related content</w:t>
      </w:r>
    </w:p>
    <w:p w14:paraId="5A88F1D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120. [AI-004] Large language models in clinical trials: applications and challenges. </w:t>
      </w:r>
      <w:r>
        <w:rPr>
          <w:rFonts w:ascii="Aptos" w:hAnsi="Aptos" w:eastAsia="等线"/>
          <w:b w:val="0"/>
          <w:sz w:val="21"/>
        </w:rPr>
        <w:t>PMC,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"https://pmc.ncbi.nlm.nih.gov/articles/PMC12522288/" \h </w:instrText>
      </w:r>
      <w:r>
        <w:fldChar w:fldCharType="separate"/>
      </w:r>
      <w:r>
        <w:rPr>
          <w:color w:val="2E74B5"/>
          <w:u w:val="single"/>
        </w:rPr>
        <w:t>https://pmc.ncbi.nlm.nih.gov/articles/PMC12522288/</w:t>
      </w:r>
      <w:r>
        <w:rPr>
          <w:color w:val="2E74B5"/>
          <w:u w:val="single"/>
        </w:rPr>
        <w:fldChar w:fldCharType="end"/>
      </w:r>
    </w:p>
    <w:p w14:paraId="79160DBC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Broad review of LLM applications and risk boundaries in clinical trials</w:t>
      </w:r>
    </w:p>
    <w:p w14:paraId="0F4D9A1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121. [AI-005] Revolutionizing Clinical Trials with Intelligent Protocol Automation. </w:t>
      </w:r>
      <w:r>
        <w:rPr>
          <w:rFonts w:ascii="Aptos" w:hAnsi="Aptos" w:eastAsia="等线"/>
          <w:b w:val="0"/>
          <w:sz w:val="21"/>
        </w:rPr>
        <w:t>PHUSE / LexJansen,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"https://www.lexjansen.com/phuse-us/2025/ml/PAP_ML08.pdf" \h </w:instrText>
      </w:r>
      <w:r>
        <w:fldChar w:fldCharType="separate"/>
      </w:r>
      <w:r>
        <w:rPr>
          <w:color w:val="2E74B5"/>
          <w:u w:val="single"/>
        </w:rPr>
        <w:t>https://www.lexjansen.com/phuse-us/2025/ml/PAP_ML08.pdf</w:t>
      </w:r>
      <w:r>
        <w:rPr>
          <w:color w:val="2E74B5"/>
          <w:u w:val="single"/>
        </w:rPr>
        <w:fldChar w:fldCharType="end"/>
      </w:r>
    </w:p>
    <w:p w14:paraId="400F892C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Industry-style intelligent protocol automation reference</w:t>
      </w:r>
    </w:p>
    <w:p w14:paraId="2F15D2D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122. [AI-006] Using Large Language Models to Assess the Consistency of Randomized Controlled Trials on AI Interventions. </w:t>
      </w:r>
      <w:r>
        <w:rPr>
          <w:rFonts w:ascii="Aptos" w:hAnsi="Aptos" w:eastAsia="等线"/>
          <w:b w:val="0"/>
          <w:sz w:val="21"/>
        </w:rPr>
        <w:t>JMIR,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"https://www.jmir.org/2025/1/e72412" \h </w:instrText>
      </w:r>
      <w:r>
        <w:fldChar w:fldCharType="separate"/>
      </w:r>
      <w:r>
        <w:rPr>
          <w:color w:val="2E74B5"/>
          <w:u w:val="single"/>
        </w:rPr>
        <w:t>https://www.jmir.org/2025/1/e72412</w:t>
      </w:r>
      <w:r>
        <w:rPr>
          <w:color w:val="2E74B5"/>
          <w:u w:val="single"/>
        </w:rPr>
        <w:fldChar w:fldCharType="end"/>
      </w:r>
    </w:p>
    <w:p w14:paraId="66C7283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Method reference for LLM-based consistency assessment and deterministic API evaluation</w:t>
      </w:r>
    </w:p>
    <w:p w14:paraId="1E25FEF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123. [AI-007] AI-Driven Protocol Authoring Accelerates Phase III Clinical Trials. </w:t>
      </w:r>
      <w:r>
        <w:rPr>
          <w:rFonts w:ascii="Aptos" w:hAnsi="Aptos" w:eastAsia="等线"/>
          <w:b w:val="0"/>
          <w:sz w:val="21"/>
        </w:rPr>
        <w:t>AlphaLifeSci,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"https://alphalifesci.com/blog/blueprint-for-breakthrough-ai-driven-protocol-authoring-accelerates-phase-iii-clinical-trials" \h </w:instrText>
      </w:r>
      <w:r>
        <w:fldChar w:fldCharType="separate"/>
      </w:r>
      <w:r>
        <w:rPr>
          <w:color w:val="2E74B5"/>
          <w:u w:val="single"/>
        </w:rPr>
        <w:t>https://alphalifesci.com/blog/blueprint-for-breakthrough-ai-driven-protocol-authoring-accelerates-phase-iii-clinical-trials</w:t>
      </w:r>
      <w:r>
        <w:rPr>
          <w:color w:val="2E74B5"/>
          <w:u w:val="single"/>
        </w:rPr>
        <w:fldChar w:fldCharType="end"/>
      </w:r>
    </w:p>
    <w:p w14:paraId="2682267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Competitor narrative for cross-section consistency and structured protocol authoring</w:t>
      </w:r>
    </w:p>
    <w:p w14:paraId="3690CBC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124. [GOV-001] Reflection paper on the use of artificial intelligence in the medicinal product lifecycle. </w:t>
      </w:r>
      <w:r>
        <w:rPr>
          <w:rFonts w:ascii="Aptos" w:hAnsi="Aptos" w:eastAsia="等线"/>
          <w:b w:val="0"/>
          <w:sz w:val="21"/>
        </w:rPr>
        <w:t>European Medicines Agency,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"https://www.ema.europa.eu/en/documents/scientific-guideline/reflection-paper-use-artificial-intelligence-ai-medicinal-product-lifecycle_en.pdf" \h </w:instrText>
      </w:r>
      <w:r>
        <w:fldChar w:fldCharType="separate"/>
      </w:r>
      <w:r>
        <w:rPr>
          <w:color w:val="2E74B5"/>
          <w:u w:val="single"/>
        </w:rPr>
        <w:t>https://www.ema.europa.eu/en/documents/scientific-guideline/reflection-paper-use-artificial-intelligence-ai-medicinal-product-lifecycle_en.pdf</w:t>
      </w:r>
      <w:r>
        <w:rPr>
          <w:color w:val="2E74B5"/>
          <w:u w:val="single"/>
        </w:rPr>
        <w:fldChar w:fldCharType="end"/>
      </w:r>
    </w:p>
    <w:p w14:paraId="32382EDD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AI governance and human oversight for medicinal product lifecycle</w:t>
      </w:r>
    </w:p>
    <w:p w14:paraId="026EFF1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125. [GOV-002] Considerations for the Use of Artificial Intelligence to Support Regulatory Decision-Making for Drug and Biological Products. </w:t>
      </w:r>
      <w:r>
        <w:rPr>
          <w:rFonts w:ascii="Aptos" w:hAnsi="Aptos" w:eastAsia="等线"/>
          <w:b w:val="0"/>
          <w:sz w:val="21"/>
        </w:rPr>
        <w:t>US FDA,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"https://www.fda.gov/regulatory-information/search-fda-guidance-documents/considerations-use-artificial-intelligence-support-regulatory-decision-making-drug-and-biological" \h </w:instrText>
      </w:r>
      <w:r>
        <w:fldChar w:fldCharType="separate"/>
      </w:r>
      <w:r>
        <w:rPr>
          <w:color w:val="2E74B5"/>
          <w:u w:val="single"/>
        </w:rPr>
        <w:t>https://www.fda.gov/regulatory-information/search-fda-guidance-documents/considerations-use-artificial-intelligence-support-regulatory-decision-making-drug-and-biological</w:t>
      </w:r>
      <w:r>
        <w:rPr>
          <w:color w:val="2E74B5"/>
          <w:u w:val="single"/>
        </w:rPr>
        <w:fldChar w:fldCharType="end"/>
      </w:r>
    </w:p>
    <w:p w14:paraId="3B27588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AI credibility and regulatory decision-support risk framing</w:t>
      </w:r>
    </w:p>
    <w:p w14:paraId="318866F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126. [GOV-003] Ethics and governance of artificial intelligence for health. </w:t>
      </w:r>
      <w:r>
        <w:rPr>
          <w:rFonts w:ascii="Aptos" w:hAnsi="Aptos" w:eastAsia="等线"/>
          <w:b w:val="0"/>
          <w:sz w:val="21"/>
        </w:rPr>
        <w:t>World Health Organization, 2021。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"https://www.who.int/publications/i/item/9789240029200" \h </w:instrText>
      </w:r>
      <w:r>
        <w:fldChar w:fldCharType="separate"/>
      </w:r>
      <w:r>
        <w:rPr>
          <w:color w:val="2E74B5"/>
          <w:u w:val="single"/>
        </w:rPr>
        <w:t>https://www.who.int/publications/i/item/9789240029200</w:t>
      </w:r>
      <w:r>
        <w:rPr>
          <w:color w:val="2E74B5"/>
          <w:u w:val="single"/>
        </w:rPr>
        <w:fldChar w:fldCharType="end"/>
      </w:r>
    </w:p>
    <w:p w14:paraId="7CEB0D2C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Health AI ethics privacy accountability and human oversight</w:t>
      </w:r>
    </w:p>
    <w:p w14:paraId="51C113C4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127. [GOV-005] Good Machine Learning Practice for Medical Device Development Guiding Principles. </w:t>
      </w:r>
      <w:r>
        <w:rPr>
          <w:rFonts w:ascii="Aptos" w:hAnsi="Aptos" w:eastAsia="等线"/>
          <w:b w:val="0"/>
          <w:sz w:val="21"/>
        </w:rPr>
        <w:t>FDA Health Canada MHRA, 2021。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"https://www.fda.gov/medical-devices/software-medical-device-samd/good-machine-learning-practice-medical-device-development-guiding-principles" \h </w:instrText>
      </w:r>
      <w:r>
        <w:fldChar w:fldCharType="separate"/>
      </w:r>
      <w:r>
        <w:rPr>
          <w:color w:val="2E74B5"/>
          <w:u w:val="single"/>
        </w:rPr>
        <w:t>https://www.fda.gov/medical-devices/software-medical-device-samd/good-machine-learning-practice-medical-device-development-guiding-principles</w:t>
      </w:r>
      <w:r>
        <w:rPr>
          <w:color w:val="2E74B5"/>
          <w:u w:val="single"/>
        </w:rPr>
        <w:fldChar w:fldCharType="end"/>
      </w:r>
    </w:p>
    <w:p w14:paraId="02D5898C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AI lifecycle and quality principles as analogy not direct drug-document rule</w:t>
      </w:r>
    </w:p>
    <w:p w14:paraId="6C8FFD2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128. [M3-01] Ethics and Governance of Artificial Intelligence for Health. </w:t>
      </w:r>
      <w:r>
        <w:rPr>
          <w:rFonts w:ascii="Aptos" w:hAnsi="Aptos" w:eastAsia="等线"/>
          <w:b w:val="0"/>
          <w:sz w:val="21"/>
        </w:rPr>
        <w:t>WHO, 2021。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"https://iris.who.int/bitstream/handle/10665/341996/9789240029200-eng.pdf" \h </w:instrText>
      </w:r>
      <w:r>
        <w:fldChar w:fldCharType="separate"/>
      </w:r>
      <w:r>
        <w:rPr>
          <w:color w:val="2E74B5"/>
          <w:u w:val="single"/>
        </w:rPr>
        <w:t>https://iris.who.int/bitstream/handle/10665/341996/9789240029200-eng.pdf</w:t>
      </w:r>
      <w:r>
        <w:rPr>
          <w:color w:val="2E74B5"/>
          <w:u w:val="single"/>
        </w:rPr>
        <w:fldChar w:fldCharType="end"/>
      </w:r>
    </w:p>
    <w:p w14:paraId="5B1645F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AI健康应用的伦理原则和治理框架</w:t>
      </w:r>
    </w:p>
    <w:p w14:paraId="24506B1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129. [M3-02] Ethics and Governance of AI for Health: Guidance on Large Multi-Modal Models. </w:t>
      </w:r>
      <w:r>
        <w:rPr>
          <w:rFonts w:ascii="Aptos" w:hAnsi="Aptos" w:eastAsia="等线"/>
          <w:b w:val="0"/>
          <w:sz w:val="21"/>
        </w:rPr>
        <w:t>WHO,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"https://iris.who.int/bitstream/handle/10665/375579/9789240084759-eng.pdf" \h </w:instrText>
      </w:r>
      <w:r>
        <w:fldChar w:fldCharType="separate"/>
      </w:r>
      <w:r>
        <w:rPr>
          <w:color w:val="2E74B5"/>
          <w:u w:val="single"/>
        </w:rPr>
        <w:t>https://iris.who.int/bitstream/handle/10665/375579/9789240084759-eng.pdf</w:t>
      </w:r>
      <w:r>
        <w:rPr>
          <w:color w:val="2E74B5"/>
          <w:u w:val="single"/>
        </w:rPr>
        <w:fldChar w:fldCharType="end"/>
      </w:r>
    </w:p>
    <w:p w14:paraId="1467C8C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大模型在医疗和研究中的风险、责任和监管</w:t>
      </w:r>
    </w:p>
    <w:p w14:paraId="4AF82FA4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130. [M3-04] New Benchmarks on Protocol Amendment Practices, Trends and their Impact. </w:t>
      </w:r>
      <w:r>
        <w:rPr>
          <w:rFonts w:ascii="Aptos" w:hAnsi="Aptos" w:eastAsia="等线"/>
          <w:b w:val="0"/>
          <w:sz w:val="21"/>
        </w:rPr>
        <w:t>Tufts CSDD,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"https://assets-eu.researchsquare.com/files/rs-3168679/v1/f724a62e-b5ca-4d1e-9f95-5d005e9350c8.pdf?c=1710169728" \h </w:instrText>
      </w:r>
      <w:r>
        <w:fldChar w:fldCharType="separate"/>
      </w:r>
      <w:r>
        <w:rPr>
          <w:color w:val="2E74B5"/>
          <w:u w:val="single"/>
        </w:rPr>
        <w:t>https://assets-eu.researchsquare.com/files/rs-3168679/v1/f724a62e-b5ca-4d1e-9f95-5d005e9350c8.pdf?c=1710169728</w:t>
      </w:r>
      <w:r>
        <w:rPr>
          <w:color w:val="2E74B5"/>
          <w:u w:val="single"/>
        </w:rPr>
        <w:fldChar w:fldCharType="end"/>
      </w:r>
    </w:p>
    <w:p w14:paraId="6FC20E2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协议变更发生率、数量、周期和运营影响基准</w:t>
      </w:r>
    </w:p>
    <w:p w14:paraId="22A300F6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131. [M3-05] 临床试验期间方案变更技术指导原则（试行）. </w:t>
      </w:r>
      <w:r>
        <w:rPr>
          <w:rFonts w:ascii="Aptos" w:hAnsi="Aptos" w:eastAsia="等线"/>
          <w:b w:val="0"/>
          <w:sz w:val="21"/>
        </w:rPr>
        <w:t>国家药监局药审中心, 2022。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"https://www.cnppa.org/Public/editor/attached/file/20220624/20220624044825_55450.pdf" \h </w:instrText>
      </w:r>
      <w:r>
        <w:fldChar w:fldCharType="separate"/>
      </w:r>
      <w:r>
        <w:rPr>
          <w:color w:val="2E74B5"/>
          <w:u w:val="single"/>
        </w:rPr>
        <w:t>https://www.cnppa.org/Public/editor/attached/file/20220624/20220624044825_55450.pdf</w:t>
      </w:r>
      <w:r>
        <w:rPr>
          <w:color w:val="2E74B5"/>
          <w:u w:val="single"/>
        </w:rPr>
        <w:fldChar w:fldCharType="end"/>
      </w:r>
    </w:p>
    <w:p w14:paraId="68F08B3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中国方案变更分类、评估与沟通要求</w:t>
      </w:r>
    </w:p>
    <w:p w14:paraId="511D9A5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132. [M3-06] Considerations for AI to Support Regulatory Decision-Making for Drug and Biological Products. </w:t>
      </w:r>
      <w:r>
        <w:rPr>
          <w:rFonts w:ascii="Aptos" w:hAnsi="Aptos" w:eastAsia="等线"/>
          <w:b w:val="0"/>
          <w:sz w:val="21"/>
        </w:rPr>
        <w:t>FDA,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"https://www.fda.gov/media/190192/download" \h </w:instrText>
      </w:r>
      <w:r>
        <w:fldChar w:fldCharType="separate"/>
      </w:r>
      <w:r>
        <w:rPr>
          <w:color w:val="2E74B5"/>
          <w:u w:val="single"/>
        </w:rPr>
        <w:t>https://www.fda.gov/media/190192/download</w:t>
      </w:r>
      <w:r>
        <w:rPr>
          <w:color w:val="2E74B5"/>
          <w:u w:val="single"/>
        </w:rPr>
        <w:fldChar w:fldCharType="end"/>
      </w:r>
    </w:p>
    <w:p w14:paraId="37A512C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AI模型可信性评估、使用情境和风险分级</w:t>
      </w:r>
    </w:p>
    <w:p w14:paraId="362A37E1">
      <w:pPr>
        <w:pStyle w:val="3"/>
      </w:pPr>
      <w:r>
        <w:t>行业产品、竞品与价值证据</w:t>
      </w:r>
    </w:p>
    <w:p w14:paraId="04FA2CD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133. [BUR-001] Multidisciplinary Approach to Protocol Writing. </w:t>
      </w:r>
      <w:r>
        <w:rPr>
          <w:rFonts w:ascii="Aptos" w:hAnsi="Aptos" w:eastAsia="等线"/>
          <w:b w:val="0"/>
          <w:sz w:val="21"/>
        </w:rPr>
        <w:t>Applied Clinical Trials,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"https://www.appliedclinicaltrialsonline.com/view/multidisciplinary-approach-protocol-writing" \h </w:instrText>
      </w:r>
      <w:r>
        <w:fldChar w:fldCharType="separate"/>
      </w:r>
      <w:r>
        <w:rPr>
          <w:color w:val="2E74B5"/>
          <w:u w:val="single"/>
        </w:rPr>
        <w:t>https://www.appliedclinicaltrialsonline.com/view/multidisciplinary-approach-protocol-writing</w:t>
      </w:r>
      <w:r>
        <w:rPr>
          <w:color w:val="2E74B5"/>
          <w:u w:val="single"/>
        </w:rPr>
        <w:fldChar w:fldCharType="end"/>
      </w:r>
    </w:p>
    <w:p w14:paraId="2C90429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statement on protocol-writing process and approximate writing duration</w:t>
      </w:r>
    </w:p>
    <w:p w14:paraId="79D536D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134. [BUR-002] Controlling complexity for regulator-ready protocol. </w:t>
      </w:r>
      <w:r>
        <w:rPr>
          <w:rFonts w:ascii="Aptos" w:hAnsi="Aptos" w:eastAsia="等线"/>
          <w:b w:val="0"/>
          <w:sz w:val="21"/>
        </w:rPr>
        <w:t>ICON plc,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"https://www.iconplc.com/insights/blog/2025/04/09/controlling-complexity-regulator-ready-protocol" \h </w:instrText>
      </w:r>
      <w:r>
        <w:fldChar w:fldCharType="separate"/>
      </w:r>
      <w:r>
        <w:rPr>
          <w:color w:val="2E74B5"/>
          <w:u w:val="single"/>
        </w:rPr>
        <w:t>https://www.iconplc.com/insights/blog/2025/04/09/controlling-complexity-regulator-ready-protocol</w:t>
      </w:r>
      <w:r>
        <w:rPr>
          <w:color w:val="2E74B5"/>
          <w:u w:val="single"/>
        </w:rPr>
        <w:fldChar w:fldCharType="end"/>
      </w:r>
    </w:p>
    <w:p w14:paraId="353B887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complexity and amendment cost narrative with Tufts CSDD references</w:t>
      </w:r>
    </w:p>
    <w:p w14:paraId="76F50006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135. [BUR-003] Shining a Light on the Inefficiencies in Amendment Implementation. </w:t>
      </w:r>
      <w:r>
        <w:rPr>
          <w:rFonts w:ascii="Aptos" w:hAnsi="Aptos" w:eastAsia="等线"/>
          <w:b w:val="0"/>
          <w:sz w:val="21"/>
        </w:rPr>
        <w:t>Applied Clinical Trials,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"https://www.appliedclinicaltrialsonline.com/view/shining-a-light-on-the-inefficiencies-in-amendment-implementation" \h </w:instrText>
      </w:r>
      <w:r>
        <w:fldChar w:fldCharType="separate"/>
      </w:r>
      <w:r>
        <w:rPr>
          <w:color w:val="2E74B5"/>
          <w:u w:val="single"/>
        </w:rPr>
        <w:t>https://www.appliedclinicaltrialsonline.com/view/shining-a-light-on-the-inefficiencies-in-amendment-implementation</w:t>
      </w:r>
      <w:r>
        <w:rPr>
          <w:color w:val="2E74B5"/>
          <w:u w:val="single"/>
        </w:rPr>
        <w:fldChar w:fldCharType="end"/>
      </w:r>
    </w:p>
    <w:p w14:paraId="3862FD3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Amendment implementation delays and cross-functional burden context</w:t>
      </w:r>
    </w:p>
    <w:p w14:paraId="7CFB484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136. [BUR-004] Cost of Protocol Amendments How Changes Penalize Learning in Phase 1. </w:t>
      </w:r>
      <w:r>
        <w:rPr>
          <w:rFonts w:ascii="Aptos" w:hAnsi="Aptos" w:eastAsia="等线"/>
          <w:b w:val="0"/>
          <w:sz w:val="21"/>
        </w:rPr>
        <w:t>Prelude EDC,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"https://preludeedc.com/resource/cost-of-protocol-amendments-phase-1/" \h </w:instrText>
      </w:r>
      <w:r>
        <w:fldChar w:fldCharType="separate"/>
      </w:r>
      <w:r>
        <w:rPr>
          <w:color w:val="2E74B5"/>
          <w:u w:val="single"/>
        </w:rPr>
        <w:t>https://preludeedc.com/resource/cost-of-protocol-amendments-phase-1/</w:t>
      </w:r>
      <w:r>
        <w:rPr>
          <w:color w:val="2E74B5"/>
          <w:u w:val="single"/>
        </w:rPr>
        <w:fldChar w:fldCharType="end"/>
      </w:r>
    </w:p>
    <w:p w14:paraId="45FD10C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amendment frequency and delay claims citing Tufts and Getz work</w:t>
      </w:r>
    </w:p>
    <w:p w14:paraId="4A741C3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137. [BUR-005] What Structured Content Means for Medical Writers. </w:t>
      </w:r>
      <w:r>
        <w:rPr>
          <w:rFonts w:ascii="Aptos" w:hAnsi="Aptos" w:eastAsia="等线"/>
          <w:b w:val="0"/>
          <w:sz w:val="21"/>
        </w:rPr>
        <w:t>Docuvera,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"https://docuvera.com/blog/structured-content-for-medical-writers/" \h </w:instrText>
      </w:r>
      <w:r>
        <w:fldChar w:fldCharType="separate"/>
      </w:r>
      <w:r>
        <w:rPr>
          <w:color w:val="2E74B5"/>
          <w:u w:val="single"/>
        </w:rPr>
        <w:t>https://docuvera.com/blog/structured-content-for-medical-writers/</w:t>
      </w:r>
      <w:r>
        <w:rPr>
          <w:color w:val="2E74B5"/>
          <w:u w:val="single"/>
        </w:rPr>
        <w:fldChar w:fldCharType="end"/>
      </w:r>
    </w:p>
    <w:p w14:paraId="2FFA4AE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Structured content components metadata and reuse framing</w:t>
      </w:r>
    </w:p>
    <w:p w14:paraId="2D22AB4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138. [BUR-006] Structured Content Authoring in Pharma. </w:t>
      </w:r>
      <w:r>
        <w:rPr>
          <w:rFonts w:ascii="Aptos" w:hAnsi="Aptos" w:eastAsia="等线"/>
          <w:b w:val="0"/>
          <w:sz w:val="21"/>
        </w:rPr>
        <w:t>Echo360,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"https://echo360.com/articles/structured-content-authoring-pharma-tools/" \h </w:instrText>
      </w:r>
      <w:r>
        <w:fldChar w:fldCharType="separate"/>
      </w:r>
      <w:r>
        <w:rPr>
          <w:color w:val="2E74B5"/>
          <w:u w:val="single"/>
        </w:rPr>
        <w:t>https://echo360.com/articles/structured-content-authoring-pharma-tools/</w:t>
      </w:r>
      <w:r>
        <w:rPr>
          <w:color w:val="2E74B5"/>
          <w:u w:val="single"/>
        </w:rPr>
        <w:fldChar w:fldCharType="end"/>
      </w:r>
    </w:p>
    <w:p w14:paraId="62C1540D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Structured authoring compliance templates controlled vocabulary and workflow framing</w:t>
      </w:r>
    </w:p>
    <w:p w14:paraId="6B5AD60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139. [BUR-007] AI and medical writing Unlocking value for life sciences. </w:t>
      </w:r>
      <w:r>
        <w:rPr>
          <w:rFonts w:ascii="Aptos" w:hAnsi="Aptos" w:eastAsia="等线"/>
          <w:b w:val="0"/>
          <w:sz w:val="21"/>
        </w:rPr>
        <w:t>Deloitte,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"https://www.deloitte.com/us/en/industries/life-sciences-health-care/articles/gen-ai-and-medical-writing.html" \h </w:instrText>
      </w:r>
      <w:r>
        <w:fldChar w:fldCharType="separate"/>
      </w:r>
      <w:r>
        <w:rPr>
          <w:color w:val="2E74B5"/>
          <w:u w:val="single"/>
        </w:rPr>
        <w:t>https://www.deloitte.com/us/en/industries/life-sciences-health-care/articles/gen-ai-and-medical-writing.html</w:t>
      </w:r>
      <w:r>
        <w:rPr>
          <w:color w:val="2E74B5"/>
          <w:u w:val="single"/>
        </w:rPr>
        <w:fldChar w:fldCharType="end"/>
      </w:r>
    </w:p>
    <w:p w14:paraId="6A439D6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Industry view that GenAI and structured content authoring may become content intelligence</w:t>
      </w:r>
    </w:p>
    <w:p w14:paraId="64CD854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140. [BUR-008] AI Medical Writing Software Protocol and CSR Automation. </w:t>
      </w:r>
      <w:r>
        <w:rPr>
          <w:rFonts w:ascii="Aptos" w:hAnsi="Aptos" w:eastAsia="等线"/>
          <w:b w:val="0"/>
          <w:sz w:val="21"/>
        </w:rPr>
        <w:t>AlphaLifeSci,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"https://alphalifesci.com/products/auroraprime-rma/medical-writing" \h </w:instrText>
      </w:r>
      <w:r>
        <w:fldChar w:fldCharType="separate"/>
      </w:r>
      <w:r>
        <w:rPr>
          <w:color w:val="2E74B5"/>
          <w:u w:val="single"/>
        </w:rPr>
        <w:t>https://alphalifesci.com/products/auroraprime-rma/medical-writing</w:t>
      </w:r>
      <w:r>
        <w:rPr>
          <w:color w:val="2E74B5"/>
          <w:u w:val="single"/>
        </w:rPr>
        <w:fldChar w:fldCharType="end"/>
      </w:r>
    </w:p>
    <w:p w14:paraId="2BC9DCC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Competitor claim around source-grounded protocol/SAP/TFL reuse and QC checks</w:t>
      </w:r>
    </w:p>
    <w:p w14:paraId="0AB4B11D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141. [BUR-009] Protocol Writing in Clinical Research. </w:t>
      </w:r>
      <w:r>
        <w:rPr>
          <w:rFonts w:ascii="Aptos" w:hAnsi="Aptos" w:eastAsia="等线"/>
          <w:b w:val="0"/>
          <w:sz w:val="21"/>
        </w:rPr>
        <w:t>PMC, 2016。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"https://pmc.ncbi.nlm.nih.gov/articles/PMC5198475/" \h </w:instrText>
      </w:r>
      <w:r>
        <w:fldChar w:fldCharType="separate"/>
      </w:r>
      <w:r>
        <w:rPr>
          <w:color w:val="2E74B5"/>
          <w:u w:val="single"/>
        </w:rPr>
        <w:t>https://pmc.ncbi.nlm.nih.gov/articles/PMC5198475/</w:t>
      </w:r>
      <w:r>
        <w:rPr>
          <w:color w:val="2E74B5"/>
          <w:u w:val="single"/>
        </w:rPr>
        <w:fldChar w:fldCharType="end"/>
      </w:r>
    </w:p>
    <w:p w14:paraId="494DF58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Open educational article on protocol writing requirements and standard steps</w:t>
      </w:r>
    </w:p>
    <w:p w14:paraId="734D5C36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142. [BUR-010] Clinical Trial Protocol Development Services. </w:t>
      </w:r>
      <w:r>
        <w:rPr>
          <w:rFonts w:ascii="Aptos" w:hAnsi="Aptos" w:eastAsia="等线"/>
          <w:b w:val="0"/>
          <w:sz w:val="21"/>
        </w:rPr>
        <w:t>Quanticate,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"https://www.quanticate.com/clinical-trial-protocol-development" \h </w:instrText>
      </w:r>
      <w:r>
        <w:fldChar w:fldCharType="separate"/>
      </w:r>
      <w:r>
        <w:rPr>
          <w:color w:val="2E74B5"/>
          <w:u w:val="single"/>
        </w:rPr>
        <w:t>https://www.quanticate.com/clinical-trial-protocol-development</w:t>
      </w:r>
      <w:r>
        <w:rPr>
          <w:color w:val="2E74B5"/>
          <w:u w:val="single"/>
        </w:rPr>
        <w:fldChar w:fldCharType="end"/>
      </w:r>
    </w:p>
    <w:p w14:paraId="4A40C60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Public CRO description of protocol synopsis and full protocol development workflow</w:t>
      </w:r>
    </w:p>
    <w:p w14:paraId="156286D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143. [BURDEN-011] Impact of Protocol Amendments, Personnel Experience and Social Support on Clinical Trial Site Performance. </w:t>
      </w:r>
      <w:r>
        <w:rPr>
          <w:rFonts w:ascii="Aptos" w:hAnsi="Aptos" w:eastAsia="等线"/>
          <w:b w:val="0"/>
          <w:sz w:val="21"/>
        </w:rPr>
        <w:t>PMC,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"https://pmc.ncbi.nlm.nih.gov/articles/PMC12579691/" \h </w:instrText>
      </w:r>
      <w:r>
        <w:fldChar w:fldCharType="separate"/>
      </w:r>
      <w:r>
        <w:rPr>
          <w:color w:val="2E74B5"/>
          <w:u w:val="single"/>
        </w:rPr>
        <w:t>https://pmc.ncbi.nlm.nih.gov/articles/PMC12579691/</w:t>
      </w:r>
      <w:r>
        <w:rPr>
          <w:color w:val="2E74B5"/>
          <w:u w:val="single"/>
        </w:rPr>
        <w:fldChar w:fldCharType="end"/>
      </w:r>
    </w:p>
    <w:p w14:paraId="1F41CF96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Evidence for amendment, complexity and operational performance burden</w:t>
      </w:r>
    </w:p>
    <w:p w14:paraId="4C07541A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144. [BURDEN-012] Assessing Protocol Complexity and its Impact on Trial Outcomes. </w:t>
      </w:r>
      <w:r>
        <w:rPr>
          <w:rFonts w:ascii="Aptos" w:hAnsi="Aptos" w:eastAsia="等线"/>
          <w:b w:val="0"/>
          <w:sz w:val="21"/>
        </w:rPr>
        <w:t>IQVIA,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"https://www.iqvia.com/blogs/2026/01/assessing-protocol-complexity-and-its-impact-on-trial-outcomes" \h </w:instrText>
      </w:r>
      <w:r>
        <w:fldChar w:fldCharType="separate"/>
      </w:r>
      <w:r>
        <w:rPr>
          <w:color w:val="2E74B5"/>
          <w:u w:val="single"/>
        </w:rPr>
        <w:t>https://www.iqvia.com/blogs/2026/01/assessing-protocol-complexity-and-its-impact-on-trial-outcomes</w:t>
      </w:r>
      <w:r>
        <w:rPr>
          <w:color w:val="2E74B5"/>
          <w:u w:val="single"/>
        </w:rPr>
        <w:fldChar w:fldCharType="end"/>
      </w:r>
    </w:p>
    <w:p w14:paraId="122B4A1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Recent industry framing of protocol complexity, burden and amendments</w:t>
      </w:r>
    </w:p>
    <w:p w14:paraId="52A8A37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145. [BURDEN-013] The Amendment Trap: why clinical trials face costly protocol changes. </w:t>
      </w:r>
      <w:r>
        <w:rPr>
          <w:rFonts w:ascii="Aptos" w:hAnsi="Aptos" w:eastAsia="等线"/>
          <w:b w:val="0"/>
          <w:sz w:val="21"/>
        </w:rPr>
        <w:t>Precision for Medicine,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"https://www.precisionformedicine.com/blog/the-amendment-trap-why-76-of-clinical-trials-face-six-figure-protocol-changes" \h </w:instrText>
      </w:r>
      <w:r>
        <w:fldChar w:fldCharType="separate"/>
      </w:r>
      <w:r>
        <w:rPr>
          <w:color w:val="2E74B5"/>
          <w:u w:val="single"/>
        </w:rPr>
        <w:t>https://www.precisionformedicine.com/blog/the-amendment-trap-why-76-of-clinical-trials-face-six-figure-protocol-changes</w:t>
      </w:r>
      <w:r>
        <w:rPr>
          <w:color w:val="2E74B5"/>
          <w:u w:val="single"/>
        </w:rPr>
        <w:fldChar w:fldCharType="end"/>
      </w:r>
    </w:p>
    <w:p w14:paraId="4E01AB3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Amendment cost narrative and risk framing</w:t>
      </w:r>
    </w:p>
    <w:p w14:paraId="4A60C64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146. [BURDEN-015] The Rising Complexity of Study Design. </w:t>
      </w:r>
      <w:r>
        <w:rPr>
          <w:rFonts w:ascii="Aptos" w:hAnsi="Aptos" w:eastAsia="等线"/>
          <w:b w:val="0"/>
          <w:sz w:val="21"/>
        </w:rPr>
        <w:t>CRIO,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"https://clinicalresearch.io/blog/the-rising-complexity-of-study-design-what-it-means-for-clinical-research-sites/" \h </w:instrText>
      </w:r>
      <w:r>
        <w:fldChar w:fldCharType="separate"/>
      </w:r>
      <w:r>
        <w:rPr>
          <w:color w:val="2E74B5"/>
          <w:u w:val="single"/>
        </w:rPr>
        <w:t>https://clinicalresearch.io/blog/the-rising-complexity-of-study-design-what-it-means-for-clinical-research-sites/</w:t>
      </w:r>
      <w:r>
        <w:rPr>
          <w:color w:val="2E74B5"/>
          <w:u w:val="single"/>
        </w:rPr>
        <w:fldChar w:fldCharType="end"/>
      </w:r>
    </w:p>
    <w:p w14:paraId="2869468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Study complexity and deviation/rework narrative</w:t>
      </w:r>
    </w:p>
    <w:p w14:paraId="224EF1C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147. [BUS-001] Veeva Clinical Operations. </w:t>
      </w:r>
      <w:r>
        <w:rPr>
          <w:rFonts w:ascii="Aptos" w:hAnsi="Aptos" w:eastAsia="等线"/>
          <w:b w:val="0"/>
          <w:sz w:val="21"/>
        </w:rPr>
        <w:t>Veeva Systems,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"https://www.veeva.com/products/clinical-operations/" \h </w:instrText>
      </w:r>
      <w:r>
        <w:fldChar w:fldCharType="separate"/>
      </w:r>
      <w:r>
        <w:rPr>
          <w:color w:val="2E74B5"/>
          <w:u w:val="single"/>
        </w:rPr>
        <w:t>https://www.veeva.com/products/clinical-operations/</w:t>
      </w:r>
      <w:r>
        <w:rPr>
          <w:color w:val="2E74B5"/>
          <w:u w:val="single"/>
        </w:rPr>
        <w:fldChar w:fldCharType="end"/>
      </w:r>
    </w:p>
    <w:p w14:paraId="7326BA4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Unified clinical operations competitor context</w:t>
      </w:r>
    </w:p>
    <w:p w14:paraId="4641168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148. [BUS-002] Veeva Clinical Platform. </w:t>
      </w:r>
      <w:r>
        <w:rPr>
          <w:rFonts w:ascii="Aptos" w:hAnsi="Aptos" w:eastAsia="等线"/>
          <w:b w:val="0"/>
          <w:sz w:val="21"/>
        </w:rPr>
        <w:t>Veeva Systems,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"https://www.veeva.com/products/veeva-clinical-platform/" \h </w:instrText>
      </w:r>
      <w:r>
        <w:fldChar w:fldCharType="separate"/>
      </w:r>
      <w:r>
        <w:rPr>
          <w:color w:val="2E74B5"/>
          <w:u w:val="single"/>
        </w:rPr>
        <w:t>https://www.veeva.com/products/veeva-clinical-platform/</w:t>
      </w:r>
      <w:r>
        <w:rPr>
          <w:color w:val="2E74B5"/>
          <w:u w:val="single"/>
        </w:rPr>
        <w:fldChar w:fldCharType="end"/>
      </w:r>
    </w:p>
    <w:p w14:paraId="7725C24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Platform-level competitor context</w:t>
      </w:r>
    </w:p>
    <w:p w14:paraId="7FBE5D4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149. [BUS-003] Veeva Disclosures Creating Registrations and Protocols. </w:t>
      </w:r>
      <w:r>
        <w:rPr>
          <w:rFonts w:ascii="Aptos" w:hAnsi="Aptos" w:eastAsia="等线"/>
          <w:b w:val="0"/>
          <w:sz w:val="21"/>
        </w:rPr>
        <w:t>Veeva Vault Help,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"https://clinical.veevavault.help/en/lr/899718/" \h </w:instrText>
      </w:r>
      <w:r>
        <w:fldChar w:fldCharType="separate"/>
      </w:r>
      <w:r>
        <w:rPr>
          <w:color w:val="2E74B5"/>
          <w:u w:val="single"/>
        </w:rPr>
        <w:t>https://clinical.veevavault.help/en/lr/899718/</w:t>
      </w:r>
      <w:r>
        <w:rPr>
          <w:color w:val="2E74B5"/>
          <w:u w:val="single"/>
        </w:rPr>
        <w:fldChar w:fldCharType="end"/>
      </w:r>
    </w:p>
    <w:p w14:paraId="433943C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and registration record handling comparison</w:t>
      </w:r>
    </w:p>
    <w:p w14:paraId="7765530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150. [BUS-004] Oracle Clinical One overview solution brief. </w:t>
      </w:r>
      <w:r>
        <w:rPr>
          <w:rFonts w:ascii="Aptos" w:hAnsi="Aptos" w:eastAsia="等线"/>
          <w:b w:val="0"/>
          <w:sz w:val="21"/>
        </w:rPr>
        <w:t>Oracle, 2021。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"https://www.oracle.com/a/ocom/docs/industries/life-sciences/clinical-one-overview-solution-brief.pdf" \h </w:instrText>
      </w:r>
      <w:r>
        <w:fldChar w:fldCharType="separate"/>
      </w:r>
      <w:r>
        <w:rPr>
          <w:color w:val="2E74B5"/>
          <w:u w:val="single"/>
        </w:rPr>
        <w:t>https://www.oracle.com/a/ocom/docs/industries/life-sciences/clinical-one-overview-solution-brief.pdf</w:t>
      </w:r>
      <w:r>
        <w:rPr>
          <w:color w:val="2E74B5"/>
          <w:u w:val="single"/>
        </w:rPr>
        <w:fldChar w:fldCharType="end"/>
      </w:r>
    </w:p>
    <w:p w14:paraId="2B64AAED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Unified eClinical platform competitor evidence</w:t>
      </w:r>
    </w:p>
    <w:p w14:paraId="3A9FF42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151. [BUS-005] Oracle Clinical Trial Data Collection. </w:t>
      </w:r>
      <w:r>
        <w:rPr>
          <w:rFonts w:ascii="Aptos" w:hAnsi="Aptos" w:eastAsia="等线"/>
          <w:b w:val="0"/>
          <w:sz w:val="21"/>
        </w:rPr>
        <w:t>Oracle,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"https://www.oracle.com/ae/life-sciences/clinical-trial-data-collection/" \h </w:instrText>
      </w:r>
      <w:r>
        <w:fldChar w:fldCharType="separate"/>
      </w:r>
      <w:r>
        <w:rPr>
          <w:color w:val="2E74B5"/>
          <w:u w:val="single"/>
        </w:rPr>
        <w:t>https://www.oracle.com/ae/life-sciences/clinical-trial-data-collection/</w:t>
      </w:r>
      <w:r>
        <w:rPr>
          <w:color w:val="2E74B5"/>
          <w:u w:val="single"/>
        </w:rPr>
        <w:fldChar w:fldCharType="end"/>
      </w:r>
    </w:p>
    <w:p w14:paraId="11C5C88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change and trial setup platform context</w:t>
      </w:r>
    </w:p>
    <w:p w14:paraId="039B53C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152. [BUS-006] Applying Protocol Amendments to Sites and Clinical Subjects. </w:t>
      </w:r>
      <w:r>
        <w:rPr>
          <w:rFonts w:ascii="Aptos" w:hAnsi="Aptos" w:eastAsia="等线"/>
          <w:b w:val="0"/>
          <w:sz w:val="21"/>
        </w:rPr>
        <w:t>Oracle Documentation,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"https://docs.oracle.com/cd/G26828_01/books/CTMS/c-Applying-Protocol-Amendments-to-Sites-and-Clinical-Subjects--ad1003746.html" \h </w:instrText>
      </w:r>
      <w:r>
        <w:fldChar w:fldCharType="separate"/>
      </w:r>
      <w:r>
        <w:rPr>
          <w:color w:val="2E74B5"/>
          <w:u w:val="single"/>
        </w:rPr>
        <w:t>https://docs.oracle.com/cd/G26828_01/books/CTMS/c-Applying-Protocol-Amendments-to-Sites-and-Clinical-Subjects--ad1003746.html</w:t>
      </w:r>
      <w:r>
        <w:rPr>
          <w:color w:val="2E74B5"/>
          <w:u w:val="single"/>
        </w:rPr>
        <w:fldChar w:fldCharType="end"/>
      </w:r>
    </w:p>
    <w:p w14:paraId="5E977C6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Concrete downstream objects affected by protocol amendment</w:t>
      </w:r>
    </w:p>
    <w:p w14:paraId="4047893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153. [BUS-007] Medidata AI. </w:t>
      </w:r>
      <w:r>
        <w:rPr>
          <w:rFonts w:ascii="Aptos" w:hAnsi="Aptos" w:eastAsia="等线"/>
          <w:b w:val="0"/>
          <w:sz w:val="21"/>
        </w:rPr>
        <w:t>Medidata,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"https://www.medidata.com/en/clinical-trial-products/medidata-ai/" \h </w:instrText>
      </w:r>
      <w:r>
        <w:fldChar w:fldCharType="separate"/>
      </w:r>
      <w:r>
        <w:rPr>
          <w:color w:val="2E74B5"/>
          <w:u w:val="single"/>
        </w:rPr>
        <w:t>https://www.medidata.com/en/clinical-trial-products/medidata-ai/</w:t>
      </w:r>
      <w:r>
        <w:rPr>
          <w:color w:val="2E74B5"/>
          <w:u w:val="single"/>
        </w:rPr>
        <w:fldChar w:fldCharType="end"/>
      </w:r>
    </w:p>
    <w:p w14:paraId="095A699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AI across clinical trial lifecycle competitor context</w:t>
      </w:r>
    </w:p>
    <w:p w14:paraId="770552E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154. [BUS-008] Medidata Clinical Data Studio. </w:t>
      </w:r>
      <w:r>
        <w:rPr>
          <w:rFonts w:ascii="Aptos" w:hAnsi="Aptos" w:eastAsia="等线"/>
          <w:b w:val="0"/>
          <w:sz w:val="21"/>
        </w:rPr>
        <w:t>Medidata,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"https://www.medidata.com/en/data-experience/clinical-data-studio/" \h </w:instrText>
      </w:r>
      <w:r>
        <w:fldChar w:fldCharType="separate"/>
      </w:r>
      <w:r>
        <w:rPr>
          <w:color w:val="2E74B5"/>
          <w:u w:val="single"/>
        </w:rPr>
        <w:t>https://www.medidata.com/en/data-experience/clinical-data-studio/</w:t>
      </w:r>
      <w:r>
        <w:rPr>
          <w:color w:val="2E74B5"/>
          <w:u w:val="single"/>
        </w:rPr>
        <w:fldChar w:fldCharType="end"/>
      </w:r>
    </w:p>
    <w:p w14:paraId="0F9B182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AI-assisted clinical data review adjacent competitor</w:t>
      </w:r>
    </w:p>
    <w:p w14:paraId="4346F9D3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155. [BUS-009] AI in Clinical Study Builds redefining EDC efficiency. </w:t>
      </w:r>
      <w:r>
        <w:rPr>
          <w:rFonts w:ascii="Aptos" w:hAnsi="Aptos" w:eastAsia="等线"/>
          <w:b w:val="0"/>
          <w:sz w:val="21"/>
        </w:rPr>
        <w:t>Medidata,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"https://www.medidata.com/en/life-science-resources/medidata-blog/ai-study-build/" \h </w:instrText>
      </w:r>
      <w:r>
        <w:fldChar w:fldCharType="separate"/>
      </w:r>
      <w:r>
        <w:rPr>
          <w:color w:val="2E74B5"/>
          <w:u w:val="single"/>
        </w:rPr>
        <w:t>https://www.medidata.com/en/life-science-resources/medidata-blog/ai-study-build/</w:t>
      </w:r>
      <w:r>
        <w:rPr>
          <w:color w:val="2E74B5"/>
          <w:u w:val="single"/>
        </w:rPr>
        <w:fldChar w:fldCharType="end"/>
      </w:r>
    </w:p>
    <w:p w14:paraId="4C7CE11C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Turning static protocol documents into dynamic collection structures</w:t>
      </w:r>
    </w:p>
    <w:p w14:paraId="1DDF826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156. [BUS-010] Clinical Data Studio press release. </w:t>
      </w:r>
      <w:r>
        <w:rPr>
          <w:rFonts w:ascii="Aptos" w:hAnsi="Aptos" w:eastAsia="等线"/>
          <w:b w:val="0"/>
          <w:sz w:val="21"/>
        </w:rPr>
        <w:t>Medidata and Dassault Systemes,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"https://www.3ds.com/newsroom/press-releases/medidata-launches-clinical-data-studio-leveraging-ai-modernize-data-experience-clinical-trials" \h </w:instrText>
      </w:r>
      <w:r>
        <w:fldChar w:fldCharType="separate"/>
      </w:r>
      <w:r>
        <w:rPr>
          <w:color w:val="2E74B5"/>
          <w:u w:val="single"/>
        </w:rPr>
        <w:t>https://www.3ds.com/newsroom/press-releases/medidata-launches-clinical-data-studio-leveraging-ai-modernize-data-experience-clinical-trials</w:t>
      </w:r>
      <w:r>
        <w:rPr>
          <w:color w:val="2E74B5"/>
          <w:u w:val="single"/>
        </w:rPr>
        <w:fldChar w:fldCharType="end"/>
      </w:r>
    </w:p>
    <w:p w14:paraId="3A49865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Vendor claim for AI data review and reconciliation</w:t>
      </w:r>
    </w:p>
    <w:p w14:paraId="31FDF59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157. [BUS-011] Kitsa AI-powered clinical trial documentation. </w:t>
      </w:r>
      <w:r>
        <w:rPr>
          <w:rFonts w:ascii="Aptos" w:hAnsi="Aptos" w:eastAsia="等线"/>
          <w:b w:val="0"/>
          <w:sz w:val="21"/>
        </w:rPr>
        <w:t>Kitsa,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"https://kitsa.ai/resources/ai-powered-documentation" \h </w:instrText>
      </w:r>
      <w:r>
        <w:fldChar w:fldCharType="separate"/>
      </w:r>
      <w:r>
        <w:rPr>
          <w:color w:val="2E74B5"/>
          <w:u w:val="single"/>
        </w:rPr>
        <w:t>https://kitsa.ai/resources/ai-powered-documentation</w:t>
      </w:r>
      <w:r>
        <w:rPr>
          <w:color w:val="2E74B5"/>
          <w:u w:val="single"/>
        </w:rPr>
        <w:fldChar w:fldCharType="end"/>
      </w:r>
    </w:p>
    <w:p w14:paraId="370EB09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Direct AI protocol and regulatory writing competitor</w:t>
      </w:r>
    </w:p>
    <w:p w14:paraId="28E5372C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158. [BUS-012] Kitsa Tech Mahindra agentic AI medical writing partnership. </w:t>
      </w:r>
      <w:r>
        <w:rPr>
          <w:rFonts w:ascii="Aptos" w:hAnsi="Aptos" w:eastAsia="等线"/>
          <w:b w:val="0"/>
          <w:sz w:val="21"/>
        </w:rPr>
        <w:t>Tech Mahindra and Kitsa,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"https://www.techmahindra.com/insights/news/kitsa-and-tech-mahindra-collaborate-for-next-gen-pharma-solutions/" \h </w:instrText>
      </w:r>
      <w:r>
        <w:fldChar w:fldCharType="separate"/>
      </w:r>
      <w:r>
        <w:rPr>
          <w:color w:val="2E74B5"/>
          <w:u w:val="single"/>
        </w:rPr>
        <w:t>https://www.techmahindra.com/insights/news/kitsa-and-tech-mahindra-collaborate-for-next-gen-pharma-solutions/</w:t>
      </w:r>
      <w:r>
        <w:rPr>
          <w:color w:val="2E74B5"/>
          <w:u w:val="single"/>
        </w:rPr>
        <w:fldChar w:fldCharType="end"/>
      </w:r>
    </w:p>
    <w:p w14:paraId="69E3D18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Agentic AI medical writing market signal</w:t>
      </w:r>
    </w:p>
    <w:p w14:paraId="2550AA3A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159. [BUS-013] Clinical Trial Protocol Optimization with Generative AI. </w:t>
      </w:r>
      <w:r>
        <w:rPr>
          <w:rFonts w:ascii="Aptos" w:hAnsi="Aptos" w:eastAsia="等线"/>
          <w:b w:val="0"/>
          <w:sz w:val="21"/>
        </w:rPr>
        <w:t>Clinion, 2025。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"https://www.clinion.com/insight/simplifying-clinical-trial-protocol-with-genai/" \h </w:instrText>
      </w:r>
      <w:r>
        <w:fldChar w:fldCharType="separate"/>
      </w:r>
      <w:r>
        <w:rPr>
          <w:color w:val="2E74B5"/>
          <w:u w:val="single"/>
        </w:rPr>
        <w:t>https://www.clinion.com/insight/simplifying-clinical-trial-protocol-with-genai/</w:t>
      </w:r>
      <w:r>
        <w:rPr>
          <w:color w:val="2E74B5"/>
          <w:u w:val="single"/>
        </w:rPr>
        <w:fldChar w:fldCharType="end"/>
      </w:r>
    </w:p>
    <w:p w14:paraId="51F3062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Vendor framing of generative AI protocol optimization</w:t>
      </w:r>
    </w:p>
    <w:p w14:paraId="35F6A29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160. [BUS-014] Kitsa Blog Index. </w:t>
      </w:r>
      <w:r>
        <w:rPr>
          <w:rFonts w:ascii="Aptos" w:hAnsi="Aptos" w:eastAsia="等线"/>
          <w:b w:val="0"/>
          <w:sz w:val="21"/>
        </w:rPr>
        <w:t>Kitsa,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"https://kitsa.ai/blog" \h </w:instrText>
      </w:r>
      <w:r>
        <w:fldChar w:fldCharType="separate"/>
      </w:r>
      <w:r>
        <w:rPr>
          <w:color w:val="2E74B5"/>
          <w:u w:val="single"/>
        </w:rPr>
        <w:t>https://kitsa.ai/blog</w:t>
      </w:r>
      <w:r>
        <w:rPr>
          <w:color w:val="2E74B5"/>
          <w:u w:val="single"/>
        </w:rPr>
        <w:fldChar w:fldCharType="end"/>
      </w:r>
    </w:p>
    <w:p w14:paraId="7DEDA5B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Competitor vocabulary around clinical trial documentation</w:t>
      </w:r>
    </w:p>
    <w:p w14:paraId="231161C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161. [BUS-015] Medical Writing Automatic Clinical Protocol Generation. </w:t>
      </w:r>
      <w:r>
        <w:rPr>
          <w:rFonts w:ascii="Aptos" w:hAnsi="Aptos" w:eastAsia="等线"/>
          <w:b w:val="0"/>
          <w:sz w:val="21"/>
        </w:rPr>
        <w:t>CARA Life Sciences,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"https://www.caralifesciences.generiscorp.com/clinical-solutions/medical-writing-automatic-clinical-protocol-generation/" \h </w:instrText>
      </w:r>
      <w:r>
        <w:fldChar w:fldCharType="separate"/>
      </w:r>
      <w:r>
        <w:rPr>
          <w:color w:val="2E74B5"/>
          <w:u w:val="single"/>
        </w:rPr>
        <w:t>https://www.caralifesciences.generiscorp.com/clinical-solutions/medical-writing-automatic-clinical-protocol-generation/</w:t>
      </w:r>
      <w:r>
        <w:rPr>
          <w:color w:val="2E74B5"/>
          <w:u w:val="single"/>
        </w:rPr>
        <w:fldChar w:fldCharType="end"/>
      </w:r>
    </w:p>
    <w:p w14:paraId="50640E8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Component authoring and protocol generation comparator</w:t>
      </w:r>
    </w:p>
    <w:p w14:paraId="1D6ED524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162. [BUS-016] TrialAssure clinical data transparency software leader. </w:t>
      </w:r>
      <w:r>
        <w:rPr>
          <w:rFonts w:ascii="Aptos" w:hAnsi="Aptos" w:eastAsia="等线"/>
          <w:b w:val="0"/>
          <w:sz w:val="21"/>
        </w:rPr>
        <w:t>TrialAssure,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"https://trialassure.com/" \h </w:instrText>
      </w:r>
      <w:r>
        <w:fldChar w:fldCharType="separate"/>
      </w:r>
      <w:r>
        <w:rPr>
          <w:color w:val="2E74B5"/>
          <w:u w:val="single"/>
        </w:rPr>
        <w:t>https://trialassure.com/</w:t>
      </w:r>
      <w:r>
        <w:rPr>
          <w:color w:val="2E74B5"/>
          <w:u w:val="single"/>
        </w:rPr>
        <w:fldChar w:fldCharType="end"/>
      </w:r>
    </w:p>
    <w:p w14:paraId="5B131FC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Clinical transparency and disclosure adjacent competitor</w:t>
      </w:r>
    </w:p>
    <w:p w14:paraId="344FCCEA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163. [BUS-017] TrialAssure ANONYMIZE data anonymization transparency software. </w:t>
      </w:r>
      <w:r>
        <w:rPr>
          <w:rFonts w:ascii="Aptos" w:hAnsi="Aptos" w:eastAsia="等线"/>
          <w:b w:val="0"/>
          <w:sz w:val="21"/>
        </w:rPr>
        <w:t>TrialAssure,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"https://trialassure.com/software/anonymize/" \h </w:instrText>
      </w:r>
      <w:r>
        <w:fldChar w:fldCharType="separate"/>
      </w:r>
      <w:r>
        <w:rPr>
          <w:color w:val="2E74B5"/>
          <w:u w:val="single"/>
        </w:rPr>
        <w:t>https://trialassure.com/software/anonymize/</w:t>
      </w:r>
      <w:r>
        <w:rPr>
          <w:color w:val="2E74B5"/>
          <w:u w:val="single"/>
        </w:rPr>
        <w:fldChar w:fldCharType="end"/>
      </w:r>
    </w:p>
    <w:p w14:paraId="205306E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Privacy and anonymization adjacent product</w:t>
      </w:r>
    </w:p>
    <w:p w14:paraId="522D7A3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164. [BUS-018] Narrativa Clinical Atlas protocol clinical trials automation with AI agents. </w:t>
      </w:r>
      <w:r>
        <w:rPr>
          <w:rFonts w:ascii="Aptos" w:hAnsi="Aptos" w:eastAsia="等线"/>
          <w:b w:val="0"/>
          <w:sz w:val="21"/>
        </w:rPr>
        <w:t>Narrativa,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"https://www.narrativa.com/protocol-clinical-trials-automation-with-ai-agents/" \h </w:instrText>
      </w:r>
      <w:r>
        <w:fldChar w:fldCharType="separate"/>
      </w:r>
      <w:r>
        <w:rPr>
          <w:color w:val="2E74B5"/>
          <w:u w:val="single"/>
        </w:rPr>
        <w:t>https://www.narrativa.com/protocol-clinical-trials-automation-with-ai-agents/</w:t>
      </w:r>
      <w:r>
        <w:rPr>
          <w:color w:val="2E74B5"/>
          <w:u w:val="single"/>
        </w:rPr>
        <w:fldChar w:fldCharType="end"/>
      </w:r>
    </w:p>
    <w:p w14:paraId="1EE6278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Protocol automation with specialized AI agents market signal</w:t>
      </w:r>
    </w:p>
    <w:p w14:paraId="3ED80A4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165. [BUS-019] Paperguide Clinical Trial Design and Protocol Writing. </w:t>
      </w:r>
      <w:r>
        <w:rPr>
          <w:rFonts w:ascii="Aptos" w:hAnsi="Aptos" w:eastAsia="等线"/>
          <w:b w:val="0"/>
          <w:sz w:val="21"/>
        </w:rPr>
        <w:t>Paperguide,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"https://paperguide.ai/solutions/clinical-trails/" \h </w:instrText>
      </w:r>
      <w:r>
        <w:fldChar w:fldCharType="separate"/>
      </w:r>
      <w:r>
        <w:rPr>
          <w:color w:val="2E74B5"/>
          <w:u w:val="single"/>
        </w:rPr>
        <w:t>https://paperguide.ai/solutions/clinical-trails/</w:t>
      </w:r>
      <w:r>
        <w:rPr>
          <w:color w:val="2E74B5"/>
          <w:u w:val="single"/>
        </w:rPr>
        <w:fldChar w:fldCharType="end"/>
      </w:r>
    </w:p>
    <w:p w14:paraId="216BFCB6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Research-backed protocol writing competitor</w:t>
      </w:r>
    </w:p>
    <w:p w14:paraId="2819BE9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166. [BUS-020] Clinical Trials Protocol Authoring using LLMs. </w:t>
      </w:r>
      <w:r>
        <w:rPr>
          <w:rFonts w:ascii="Aptos" w:hAnsi="Aptos" w:eastAsia="等线"/>
          <w:b w:val="0"/>
          <w:sz w:val="21"/>
        </w:rPr>
        <w:t>arXiv, 2024。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"https://arxiv.org/abs/2404.05044" \h </w:instrText>
      </w:r>
      <w:r>
        <w:fldChar w:fldCharType="separate"/>
      </w:r>
      <w:r>
        <w:rPr>
          <w:color w:val="2E74B5"/>
          <w:u w:val="single"/>
        </w:rPr>
        <w:t>https://arxiv.org/abs/2404.05044</w:t>
      </w:r>
      <w:r>
        <w:rPr>
          <w:color w:val="2E74B5"/>
          <w:u w:val="single"/>
        </w:rPr>
        <w:fldChar w:fldCharType="end"/>
      </w:r>
    </w:p>
    <w:p w14:paraId="570932E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LLM-assisted protocol authoring technical baseline</w:t>
      </w:r>
    </w:p>
    <w:p w14:paraId="4F00E88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167. [BUS-021] CoAuthor Life Science GenAI Software for Medical Writing. </w:t>
      </w:r>
      <w:r>
        <w:rPr>
          <w:rFonts w:ascii="Aptos" w:hAnsi="Aptos" w:eastAsia="等线"/>
          <w:b w:val="0"/>
          <w:sz w:val="21"/>
        </w:rPr>
        <w:t>Certara,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"https://www.certara.com/coauthor/" \h </w:instrText>
      </w:r>
      <w:r>
        <w:fldChar w:fldCharType="separate"/>
      </w:r>
      <w:r>
        <w:rPr>
          <w:color w:val="2E74B5"/>
          <w:u w:val="single"/>
        </w:rPr>
        <w:t>https://www.certara.com/coauthor/</w:t>
      </w:r>
      <w:r>
        <w:rPr>
          <w:color w:val="2E74B5"/>
          <w:u w:val="single"/>
        </w:rPr>
        <w:fldChar w:fldCharType="end"/>
      </w:r>
    </w:p>
    <w:p w14:paraId="6826DF0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Direct regulatory and medical writing GenAI competitor</w:t>
      </w:r>
    </w:p>
    <w:p w14:paraId="55F3EE8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168. [BUS-022] Certara Launches CoAuthor a Regulatory and Medical Writing Tool. </w:t>
      </w:r>
      <w:r>
        <w:rPr>
          <w:rFonts w:ascii="Aptos" w:hAnsi="Aptos" w:eastAsia="等线"/>
          <w:b w:val="0"/>
          <w:sz w:val="21"/>
        </w:rPr>
        <w:t>Certara, 2023。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"https://www.certara.com/announcement/certara-launches-coauthor-a-regulatory-and-medical-writing-tool/" \h </w:instrText>
      </w:r>
      <w:r>
        <w:fldChar w:fldCharType="separate"/>
      </w:r>
      <w:r>
        <w:rPr>
          <w:color w:val="2E74B5"/>
          <w:u w:val="single"/>
        </w:rPr>
        <w:t>https://www.certara.com/announcement/certara-launches-coauthor-a-regulatory-and-medical-writing-tool/</w:t>
      </w:r>
      <w:r>
        <w:rPr>
          <w:color w:val="2E74B5"/>
          <w:u w:val="single"/>
        </w:rPr>
        <w:fldChar w:fldCharType="end"/>
      </w:r>
    </w:p>
    <w:p w14:paraId="5B49F2D6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Launch source for CoAuthor positioning in clinical trial documents</w:t>
      </w:r>
    </w:p>
    <w:p w14:paraId="1C3C24B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169. [BUS-023] CoAuthor Factsheet. </w:t>
      </w:r>
      <w:r>
        <w:rPr>
          <w:rFonts w:ascii="Aptos" w:hAnsi="Aptos" w:eastAsia="等线"/>
          <w:b w:val="0"/>
          <w:sz w:val="21"/>
        </w:rPr>
        <w:t>Certara,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"https://www.certara.com/fact-sheet/coauthor/" \h </w:instrText>
      </w:r>
      <w:r>
        <w:fldChar w:fldCharType="separate"/>
      </w:r>
      <w:r>
        <w:rPr>
          <w:color w:val="2E74B5"/>
          <w:u w:val="single"/>
        </w:rPr>
        <w:t>https://www.certara.com/fact-sheet/coauthor/</w:t>
      </w:r>
      <w:r>
        <w:rPr>
          <w:color w:val="2E74B5"/>
          <w:u w:val="single"/>
        </w:rPr>
        <w:fldChar w:fldCharType="end"/>
      </w:r>
    </w:p>
    <w:p w14:paraId="5B812CB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Structured content authoring and Microsoft Word integration competitor evidence</w:t>
      </w:r>
    </w:p>
    <w:p w14:paraId="0F616F9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170. [BUS-024] Medical Writing Automation. </w:t>
      </w:r>
      <w:r>
        <w:rPr>
          <w:rFonts w:ascii="Aptos" w:hAnsi="Aptos" w:eastAsia="等线"/>
          <w:b w:val="0"/>
          <w:sz w:val="21"/>
        </w:rPr>
        <w:t>Yseop,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"https://yseop.com/medical-writing-automation/" \h </w:instrText>
      </w:r>
      <w:r>
        <w:fldChar w:fldCharType="separate"/>
      </w:r>
      <w:r>
        <w:rPr>
          <w:color w:val="2E74B5"/>
          <w:u w:val="single"/>
        </w:rPr>
        <w:t>https://yseop.com/medical-writing-automation/</w:t>
      </w:r>
      <w:r>
        <w:rPr>
          <w:color w:val="2E74B5"/>
          <w:u w:val="single"/>
        </w:rPr>
        <w:fldChar w:fldCharType="end"/>
      </w:r>
    </w:p>
    <w:p w14:paraId="07993EC3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Medical writing automation competitor focused on reports and narratives</w:t>
      </w:r>
    </w:p>
    <w:p w14:paraId="78B4576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171. [BUS-025] Clinical Document Automation. </w:t>
      </w:r>
      <w:r>
        <w:rPr>
          <w:rFonts w:ascii="Aptos" w:hAnsi="Aptos" w:eastAsia="等线"/>
          <w:b w:val="0"/>
          <w:sz w:val="21"/>
        </w:rPr>
        <w:t>Yseop,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"https://yseop.com/solutions/life-sciences/clinical/" \h </w:instrText>
      </w:r>
      <w:r>
        <w:fldChar w:fldCharType="separate"/>
      </w:r>
      <w:r>
        <w:rPr>
          <w:color w:val="2E74B5"/>
          <w:u w:val="single"/>
        </w:rPr>
        <w:t>https://yseop.com/solutions/life-sciences/clinical/</w:t>
      </w:r>
      <w:r>
        <w:rPr>
          <w:color w:val="2E74B5"/>
          <w:u w:val="single"/>
        </w:rPr>
        <w:fldChar w:fldCharType="end"/>
      </w:r>
    </w:p>
    <w:p w14:paraId="47FE389D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AI-based NLG clinical document automation competitor</w:t>
      </w:r>
    </w:p>
    <w:p w14:paraId="2D7F402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172. [BUS-026] Welcome to Yseop Copilot. </w:t>
      </w:r>
      <w:r>
        <w:rPr>
          <w:rFonts w:ascii="Aptos" w:hAnsi="Aptos" w:eastAsia="等线"/>
          <w:b w:val="0"/>
          <w:sz w:val="21"/>
        </w:rPr>
        <w:t>Yseop,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"https://yseop.com/automate-medical-regulatory-authoringworkflows/" \h </w:instrText>
      </w:r>
      <w:r>
        <w:fldChar w:fldCharType="separate"/>
      </w:r>
      <w:r>
        <w:rPr>
          <w:color w:val="2E74B5"/>
          <w:u w:val="single"/>
        </w:rPr>
        <w:t>https://yseop.com/automate-medical-regulatory-authoringworkflows/</w:t>
      </w:r>
      <w:r>
        <w:rPr>
          <w:color w:val="2E74B5"/>
          <w:u w:val="single"/>
        </w:rPr>
        <w:fldChar w:fldCharType="end"/>
      </w:r>
    </w:p>
    <w:p w14:paraId="723491A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Regulatory authoring workflow automation and Word/Veeva integration evidence</w:t>
      </w:r>
    </w:p>
    <w:p w14:paraId="34B6CC8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173. [BUS-027] eTMF Features Built for a Better Clinical Trial. </w:t>
      </w:r>
      <w:r>
        <w:rPr>
          <w:rFonts w:ascii="Aptos" w:hAnsi="Aptos" w:eastAsia="等线"/>
          <w:b w:val="0"/>
          <w:sz w:val="21"/>
        </w:rPr>
        <w:t>Montrium,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"https://www.montrium.com/etmf-connect-features" \h </w:instrText>
      </w:r>
      <w:r>
        <w:fldChar w:fldCharType="separate"/>
      </w:r>
      <w:r>
        <w:rPr>
          <w:color w:val="2E74B5"/>
          <w:u w:val="single"/>
        </w:rPr>
        <w:t>https://www.montrium.com/etmf-connect-features</w:t>
      </w:r>
      <w:r>
        <w:rPr>
          <w:color w:val="2E74B5"/>
          <w:u w:val="single"/>
        </w:rPr>
        <w:fldChar w:fldCharType="end"/>
      </w:r>
    </w:p>
    <w:p w14:paraId="03AF308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Document management and artifact linking competitor context</w:t>
      </w:r>
    </w:p>
    <w:p w14:paraId="5913A6C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174. [BUS-028] Montrium clinical operations platform. </w:t>
      </w:r>
      <w:r>
        <w:rPr>
          <w:rFonts w:ascii="Aptos" w:hAnsi="Aptos" w:eastAsia="等线"/>
          <w:b w:val="0"/>
          <w:sz w:val="21"/>
        </w:rPr>
        <w:t>Montrium,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"https://www.montrium.com/" \h </w:instrText>
      </w:r>
      <w:r>
        <w:fldChar w:fldCharType="separate"/>
      </w:r>
      <w:r>
        <w:rPr>
          <w:color w:val="2E74B5"/>
          <w:u w:val="single"/>
        </w:rPr>
        <w:t>https://www.montrium.com/</w:t>
      </w:r>
      <w:r>
        <w:rPr>
          <w:color w:val="2E74B5"/>
          <w:u w:val="single"/>
        </w:rPr>
        <w:fldChar w:fldCharType="end"/>
      </w:r>
    </w:p>
    <w:p w14:paraId="28E40BF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Cloud eTMF eQMS and RIM platform competitor evidence</w:t>
      </w:r>
    </w:p>
    <w:p w14:paraId="7E512A0C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175. [BUS-029] eTMF Systems. </w:t>
      </w:r>
      <w:r>
        <w:rPr>
          <w:rFonts w:ascii="Aptos" w:hAnsi="Aptos" w:eastAsia="等线"/>
          <w:b w:val="0"/>
          <w:sz w:val="21"/>
        </w:rPr>
        <w:t>MasterControl,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"https://www.mastercontrol.com/au/clinical/etmf-software-systems/" \h </w:instrText>
      </w:r>
      <w:r>
        <w:fldChar w:fldCharType="separate"/>
      </w:r>
      <w:r>
        <w:rPr>
          <w:color w:val="2E74B5"/>
          <w:u w:val="single"/>
        </w:rPr>
        <w:t>https://www.mastercontrol.com/au/clinical/etmf-software-systems/</w:t>
      </w:r>
      <w:r>
        <w:rPr>
          <w:color w:val="2E74B5"/>
          <w:u w:val="single"/>
        </w:rPr>
        <w:fldChar w:fldCharType="end"/>
      </w:r>
    </w:p>
    <w:p w14:paraId="14CA6C1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eTMF and clinical document management competitor context</w:t>
      </w:r>
    </w:p>
    <w:p w14:paraId="2ECCB156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176. [BUS-030] MasterControl eTMF Manager. </w:t>
      </w:r>
      <w:r>
        <w:rPr>
          <w:rFonts w:ascii="Aptos" w:hAnsi="Aptos" w:eastAsia="等线"/>
          <w:b w:val="0"/>
          <w:sz w:val="21"/>
        </w:rPr>
        <w:t>MasterControl,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"https://www.mastercontrol.com/resource-center/documents/mastercontrol-etmf-manager/" \h </w:instrText>
      </w:r>
      <w:r>
        <w:fldChar w:fldCharType="separate"/>
      </w:r>
      <w:r>
        <w:rPr>
          <w:color w:val="2E74B5"/>
          <w:u w:val="single"/>
        </w:rPr>
        <w:t>https://www.mastercontrol.com/resource-center/documents/mastercontrol-etmf-manager/</w:t>
      </w:r>
      <w:r>
        <w:rPr>
          <w:color w:val="2E74B5"/>
          <w:u w:val="single"/>
        </w:rPr>
        <w:fldChar w:fldCharType="end"/>
      </w:r>
    </w:p>
    <w:p w14:paraId="26D9CBD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Document control change control audit and risk management competitor context</w:t>
      </w:r>
    </w:p>
    <w:p w14:paraId="507D4B16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177. [COMP-001] HumanTrue clinical trials quality copilot. </w:t>
      </w:r>
      <w:r>
        <w:rPr>
          <w:rFonts w:ascii="Aptos" w:hAnsi="Aptos" w:eastAsia="等线"/>
          <w:b w:val="0"/>
          <w:sz w:val="21"/>
        </w:rPr>
        <w:t>HumanTrue,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"https://humantrue.com/quality" \h </w:instrText>
      </w:r>
      <w:r>
        <w:fldChar w:fldCharType="separate"/>
      </w:r>
      <w:r>
        <w:rPr>
          <w:color w:val="2E74B5"/>
          <w:u w:val="single"/>
        </w:rPr>
        <w:t>https://humantrue.com/quality</w:t>
      </w:r>
      <w:r>
        <w:rPr>
          <w:color w:val="2E74B5"/>
          <w:u w:val="single"/>
        </w:rPr>
        <w:fldChar w:fldCharType="end"/>
      </w:r>
    </w:p>
    <w:p w14:paraId="04AFD55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Direct competitor evidence for protocol quality, ambiguity and consistency positioning</w:t>
      </w:r>
    </w:p>
    <w:p w14:paraId="430886F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178. [COMP-002] Cori Clinical AI workspace for clinical trial documents. </w:t>
      </w:r>
      <w:r>
        <w:rPr>
          <w:rFonts w:ascii="Aptos" w:hAnsi="Aptos" w:eastAsia="等线"/>
          <w:b w:val="0"/>
          <w:sz w:val="21"/>
        </w:rPr>
        <w:t>Cori Clinical,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"https://www.cori-clinical.com/" \h </w:instrText>
      </w:r>
      <w:r>
        <w:fldChar w:fldCharType="separate"/>
      </w:r>
      <w:r>
        <w:rPr>
          <w:color w:val="2E74B5"/>
          <w:u w:val="single"/>
        </w:rPr>
        <w:t>https://www.cori-clinical.com/</w:t>
      </w:r>
      <w:r>
        <w:rPr>
          <w:color w:val="2E74B5"/>
          <w:u w:val="single"/>
        </w:rPr>
        <w:fldChar w:fldCharType="end"/>
      </w:r>
    </w:p>
    <w:p w14:paraId="14F7108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Direct competitor evidence for drafting, QC, review and change control across trial documents</w:t>
      </w:r>
    </w:p>
    <w:p w14:paraId="3D3D60A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179. [COMP-003] Cori Clinical ASSIST Word-centered authoring. </w:t>
      </w:r>
      <w:r>
        <w:rPr>
          <w:rFonts w:ascii="Aptos" w:hAnsi="Aptos" w:eastAsia="等线"/>
          <w:b w:val="0"/>
          <w:sz w:val="21"/>
        </w:rPr>
        <w:t>Cori Clinical,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"https://www.cori-clinical.com/assist" \h </w:instrText>
      </w:r>
      <w:r>
        <w:fldChar w:fldCharType="separate"/>
      </w:r>
      <w:r>
        <w:rPr>
          <w:color w:val="2E74B5"/>
          <w:u w:val="single"/>
        </w:rPr>
        <w:t>https://www.cori-clinical.com/assist</w:t>
      </w:r>
      <w:r>
        <w:rPr>
          <w:color w:val="2E74B5"/>
          <w:u w:val="single"/>
        </w:rPr>
        <w:fldChar w:fldCharType="end"/>
      </w:r>
    </w:p>
    <w:p w14:paraId="15F2EB3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Competitor evidence for Word add-in and connected authoring workflow</w:t>
      </w:r>
    </w:p>
    <w:p w14:paraId="2EDD242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180. [COMP-004] Cori Clinical REVIEW cross-document coherence. </w:t>
      </w:r>
      <w:r>
        <w:rPr>
          <w:rFonts w:ascii="Aptos" w:hAnsi="Aptos" w:eastAsia="等线"/>
          <w:b w:val="0"/>
          <w:sz w:val="21"/>
        </w:rPr>
        <w:t>Cori Clinical,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"https://www.cori-clinical.com/review" \h </w:instrText>
      </w:r>
      <w:r>
        <w:fldChar w:fldCharType="separate"/>
      </w:r>
      <w:r>
        <w:rPr>
          <w:color w:val="2E74B5"/>
          <w:u w:val="single"/>
        </w:rPr>
        <w:t>https://www.cori-clinical.com/review</w:t>
      </w:r>
      <w:r>
        <w:rPr>
          <w:color w:val="2E74B5"/>
          <w:u w:val="single"/>
        </w:rPr>
        <w:fldChar w:fldCharType="end"/>
      </w:r>
    </w:p>
    <w:p w14:paraId="26C2996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Competitor evidence for document review and coherence across trial files</w:t>
      </w:r>
    </w:p>
    <w:p w14:paraId="64E51623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181. [COMP-005] Clinials protocol intelligence platform. </w:t>
      </w:r>
      <w:r>
        <w:rPr>
          <w:rFonts w:ascii="Aptos" w:hAnsi="Aptos" w:eastAsia="等线"/>
          <w:b w:val="0"/>
          <w:sz w:val="21"/>
        </w:rPr>
        <w:t>Clinials,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"https://clinials.com/" \h </w:instrText>
      </w:r>
      <w:r>
        <w:fldChar w:fldCharType="separate"/>
      </w:r>
      <w:r>
        <w:rPr>
          <w:color w:val="2E74B5"/>
          <w:u w:val="single"/>
        </w:rPr>
        <w:t>https://clinials.com/</w:t>
      </w:r>
      <w:r>
        <w:rPr>
          <w:color w:val="2E74B5"/>
          <w:u w:val="single"/>
        </w:rPr>
        <w:fldChar w:fldCharType="end"/>
      </w:r>
    </w:p>
    <w:p w14:paraId="4EA4B280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Competitor evidence for AI-powered protocol-to-structured-document generation</w:t>
      </w:r>
    </w:p>
    <w:p w14:paraId="10A49D29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182. [COMP-006] Clinials about protocol intelligence. </w:t>
      </w:r>
      <w:r>
        <w:rPr>
          <w:rFonts w:ascii="Aptos" w:hAnsi="Aptos" w:eastAsia="等线"/>
          <w:b w:val="0"/>
          <w:sz w:val="21"/>
        </w:rPr>
        <w:t>Clinials,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"https://clinials.com/about-us" \h </w:instrText>
      </w:r>
      <w:r>
        <w:fldChar w:fldCharType="separate"/>
      </w:r>
      <w:r>
        <w:rPr>
          <w:color w:val="2E74B5"/>
          <w:u w:val="single"/>
        </w:rPr>
        <w:t>https://clinials.com/about-us</w:t>
      </w:r>
      <w:r>
        <w:rPr>
          <w:color w:val="2E74B5"/>
          <w:u w:val="single"/>
        </w:rPr>
        <w:fldChar w:fldCharType="end"/>
      </w:r>
    </w:p>
    <w:p w14:paraId="18C9D5D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Competitor evidence for extracting what matters from protocols and related documents</w:t>
      </w:r>
    </w:p>
    <w:p w14:paraId="53B0224F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183. [COMP-007] Taimei Wiz-iCTA document management agent. </w:t>
      </w:r>
      <w:r>
        <w:rPr>
          <w:rFonts w:ascii="Aptos" w:hAnsi="Aptos" w:eastAsia="等线"/>
          <w:b w:val="0"/>
          <w:sz w:val="21"/>
        </w:rPr>
        <w:t>Taimei Technology,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"https://cn.taimei.com/index/product/id/41" \h </w:instrText>
      </w:r>
      <w:r>
        <w:fldChar w:fldCharType="separate"/>
      </w:r>
      <w:r>
        <w:rPr>
          <w:color w:val="2E74B5"/>
          <w:u w:val="single"/>
        </w:rPr>
        <w:t>https://cn.taimei.com/index/product/id/41</w:t>
      </w:r>
      <w:r>
        <w:rPr>
          <w:color w:val="2E74B5"/>
          <w:u w:val="single"/>
        </w:rPr>
        <w:fldChar w:fldCharType="end"/>
      </w:r>
    </w:p>
    <w:p w14:paraId="0220B8F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China competitor evidence for intelligent TMF document management and clinical operations workflow</w:t>
      </w:r>
    </w:p>
    <w:p w14:paraId="7A44528A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184. [COMP-008] Taimei ICH M11 and AI platform article. </w:t>
      </w:r>
      <w:r>
        <w:rPr>
          <w:rFonts w:ascii="Aptos" w:hAnsi="Aptos" w:eastAsia="等线"/>
          <w:b w:val="0"/>
          <w:sz w:val="21"/>
        </w:rPr>
        <w:t>Taimei Technology,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"https://cn.taimei.com/cn/6466" \h </w:instrText>
      </w:r>
      <w:r>
        <w:fldChar w:fldCharType="separate"/>
      </w:r>
      <w:r>
        <w:rPr>
          <w:color w:val="2E74B5"/>
          <w:u w:val="single"/>
        </w:rPr>
        <w:t>https://cn.taimei.com/cn/6466</w:t>
      </w:r>
      <w:r>
        <w:rPr>
          <w:color w:val="2E74B5"/>
          <w:u w:val="single"/>
        </w:rPr>
        <w:fldChar w:fldCharType="end"/>
      </w:r>
    </w:p>
    <w:p w14:paraId="516724A7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China market evidence for ICH M11, AI agents, iCTA, iDM, eCRF and structured clinical data workflows</w:t>
      </w:r>
    </w:p>
    <w:p w14:paraId="0555C92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185. [COMP-010] Evinova Study Document Assistant. </w:t>
      </w:r>
      <w:r>
        <w:rPr>
          <w:rFonts w:ascii="Aptos" w:hAnsi="Aptos" w:eastAsia="等线"/>
          <w:b w:val="0"/>
          <w:sz w:val="21"/>
        </w:rPr>
        <w:t>Evinova,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"https://evinova.com/sda" \h </w:instrText>
      </w:r>
      <w:r>
        <w:fldChar w:fldCharType="separate"/>
      </w:r>
      <w:r>
        <w:rPr>
          <w:color w:val="2E74B5"/>
          <w:u w:val="single"/>
        </w:rPr>
        <w:t>https://evinova.com/sda</w:t>
      </w:r>
      <w:r>
        <w:rPr>
          <w:color w:val="2E74B5"/>
          <w:u w:val="single"/>
        </w:rPr>
        <w:fldChar w:fldCharType="end"/>
      </w:r>
    </w:p>
    <w:p w14:paraId="191B6C4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Adjacent competitor evidence for study document assistant and documentation workflow improvement</w:t>
      </w:r>
    </w:p>
    <w:p w14:paraId="7DEBA4E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186. [COMP-011] IQVIA Protocol Design Optimization. </w:t>
      </w:r>
      <w:r>
        <w:rPr>
          <w:rFonts w:ascii="Aptos" w:hAnsi="Aptos" w:eastAsia="等线"/>
          <w:b w:val="0"/>
          <w:sz w:val="21"/>
        </w:rPr>
        <w:t>IQVIA,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"https://www.iqvia.com/solutions/research-and-development/consulting/protocol-design-optimization" \h </w:instrText>
      </w:r>
      <w:r>
        <w:fldChar w:fldCharType="separate"/>
      </w:r>
      <w:r>
        <w:rPr>
          <w:color w:val="2E74B5"/>
          <w:u w:val="single"/>
        </w:rPr>
        <w:t>https://www.iqvia.com/solutions/research-and-development/consulting/protocol-design-optimization</w:t>
      </w:r>
      <w:r>
        <w:rPr>
          <w:color w:val="2E74B5"/>
          <w:u w:val="single"/>
        </w:rPr>
        <w:fldChar w:fldCharType="end"/>
      </w:r>
    </w:p>
    <w:p w14:paraId="0103683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Adjacent competitor evidence for protocol design optimization and protocol risk assessment positioning.</w:t>
      </w:r>
    </w:p>
    <w:p w14:paraId="672D9F8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187. [COMP-012] Medidata Protocol Optimization. </w:t>
      </w:r>
      <w:r>
        <w:rPr>
          <w:rFonts w:ascii="Aptos" w:hAnsi="Aptos" w:eastAsia="等线"/>
          <w:b w:val="0"/>
          <w:sz w:val="21"/>
        </w:rPr>
        <w:t>Medidata,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"https://www.medidata.com/en/study-experience/protocol-optimization/" \h </w:instrText>
      </w:r>
      <w:r>
        <w:fldChar w:fldCharType="separate"/>
      </w:r>
      <w:r>
        <w:rPr>
          <w:color w:val="2E74B5"/>
          <w:u w:val="single"/>
        </w:rPr>
        <w:t>https://www.medidata.com/en/study-experience/protocol-optimization/</w:t>
      </w:r>
      <w:r>
        <w:rPr>
          <w:color w:val="2E74B5"/>
          <w:u w:val="single"/>
        </w:rPr>
        <w:fldChar w:fldCharType="end"/>
      </w:r>
    </w:p>
    <w:p w14:paraId="2799580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Adjacent competitor evidence for AI-supported protocol optimization and proprietary cross-industry data positioning.</w:t>
      </w:r>
    </w:p>
    <w:p w14:paraId="12201F7C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188. [COMP-013] Medidata Clinical Trial Analytics and Study Feasibility. </w:t>
      </w:r>
      <w:r>
        <w:rPr>
          <w:rFonts w:ascii="Aptos" w:hAnsi="Aptos" w:eastAsia="等线"/>
          <w:b w:val="0"/>
          <w:sz w:val="21"/>
        </w:rPr>
        <w:t>Medidata,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"https://www.medidata.com/en/study-experience/clinical-trial-analytics/" \h </w:instrText>
      </w:r>
      <w:r>
        <w:fldChar w:fldCharType="separate"/>
      </w:r>
      <w:r>
        <w:rPr>
          <w:color w:val="2E74B5"/>
          <w:u w:val="single"/>
        </w:rPr>
        <w:t>https://www.medidata.com/en/study-experience/clinical-trial-analytics/</w:t>
      </w:r>
      <w:r>
        <w:rPr>
          <w:color w:val="2E74B5"/>
          <w:u w:val="single"/>
        </w:rPr>
        <w:fldChar w:fldCharType="end"/>
      </w:r>
    </w:p>
    <w:p w14:paraId="424F39C4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Adjacent platform evidence for feasibility, enrollment forecasting and site-level analytics.</w:t>
      </w:r>
    </w:p>
    <w:p w14:paraId="3E222535">
      <w:pPr>
        <w:pStyle w:val="3"/>
      </w:pPr>
      <w:r>
        <w:t>平台与系统集成</w:t>
      </w:r>
    </w:p>
    <w:p w14:paraId="523446E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189. [FS-001] 欢迎使用飞书Aily. </w:t>
      </w:r>
      <w:r>
        <w:rPr>
          <w:rFonts w:ascii="Aptos" w:hAnsi="Aptos" w:eastAsia="等线"/>
          <w:b w:val="0"/>
          <w:sz w:val="21"/>
        </w:rPr>
        <w:t>Feishu Aily,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"https://aily.feishu.cn/hc/1u7kleqg/4q7o7as7" \h </w:instrText>
      </w:r>
      <w:r>
        <w:fldChar w:fldCharType="separate"/>
      </w:r>
      <w:r>
        <w:rPr>
          <w:color w:val="2E74B5"/>
          <w:u w:val="single"/>
        </w:rPr>
        <w:t>https://aily.feishu.cn/hc/1u7kleqg/4q7o7as7</w:t>
      </w:r>
      <w:r>
        <w:rPr>
          <w:color w:val="2E74B5"/>
          <w:u w:val="single"/>
        </w:rPr>
        <w:fldChar w:fldCharType="end"/>
      </w:r>
    </w:p>
    <w:p w14:paraId="36DA635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Feishu Aily as enterprise agent platform and deployment interface</w:t>
      </w:r>
    </w:p>
    <w:p w14:paraId="5975B85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190. [FS-002] Get started with Feishu Aily. </w:t>
      </w:r>
      <w:r>
        <w:rPr>
          <w:rFonts w:ascii="Aptos" w:hAnsi="Aptos" w:eastAsia="等线"/>
          <w:b w:val="0"/>
          <w:sz w:val="21"/>
        </w:rPr>
        <w:t>Feishu,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"https://www.feishu.cn/hc/en-US/articles/790732948604-get-started-with-feishu-aily" \h </w:instrText>
      </w:r>
      <w:r>
        <w:fldChar w:fldCharType="separate"/>
      </w:r>
      <w:r>
        <w:rPr>
          <w:color w:val="2E74B5"/>
          <w:u w:val="single"/>
        </w:rPr>
        <w:t>https://www.feishu.cn/hc/en-US/articles/790732948604-get-started-with-feishu-aily</w:t>
      </w:r>
      <w:r>
        <w:rPr>
          <w:color w:val="2E74B5"/>
          <w:u w:val="single"/>
        </w:rPr>
        <w:fldChar w:fldCharType="end"/>
      </w:r>
    </w:p>
    <w:p w14:paraId="7F2FDFC2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English Feishu Aily feature overview for competition integration</w:t>
      </w:r>
    </w:p>
    <w:p w14:paraId="7096EF8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191. [FS-003] 快速了解飞书Aily. </w:t>
      </w:r>
      <w:r>
        <w:rPr>
          <w:rFonts w:ascii="Aptos" w:hAnsi="Aptos" w:eastAsia="等线"/>
          <w:b w:val="0"/>
          <w:sz w:val="21"/>
        </w:rPr>
        <w:t>Feishu,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"https://www.feishu.cn/hc/zh-CN/articles/790732948604-%E5%BF%AB%E9%80%9F%E4%BA%86%E8%A7%A3%E9%A3%9E%E4%B9%A6-aily" \h </w:instrText>
      </w:r>
      <w:r>
        <w:fldChar w:fldCharType="separate"/>
      </w:r>
      <w:r>
        <w:rPr>
          <w:color w:val="2E74B5"/>
          <w:u w:val="single"/>
        </w:rPr>
        <w:t>https://www.feishu.cn/hc/zh-CN/articles/790732948604-%E5%BF%AB%E9%80%9F%E4%BA%86%E8%A7%A3%E9%A3%9E%E4%B9%A6-aily</w:t>
      </w:r>
      <w:r>
        <w:rPr>
          <w:color w:val="2E74B5"/>
          <w:u w:val="single"/>
        </w:rPr>
        <w:fldChar w:fldCharType="end"/>
      </w:r>
    </w:p>
    <w:p w14:paraId="1649DB6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Chinese Feishu Aily overview and custom agent capability</w:t>
      </w:r>
    </w:p>
    <w:p w14:paraId="037BC35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192. [FS-004] Use the AI Agent node in Workflow. </w:t>
      </w:r>
      <w:r>
        <w:rPr>
          <w:rFonts w:ascii="Aptos" w:hAnsi="Aptos" w:eastAsia="等线"/>
          <w:b w:val="0"/>
          <w:sz w:val="21"/>
        </w:rPr>
        <w:t>Feishu,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"https://www.feishu.cn/hc/en-US/articles/643175485940-use-the-ai-agent-node-in-workflow" \h </w:instrText>
      </w:r>
      <w:r>
        <w:fldChar w:fldCharType="separate"/>
      </w:r>
      <w:r>
        <w:rPr>
          <w:color w:val="2E74B5"/>
          <w:u w:val="single"/>
        </w:rPr>
        <w:t>https://www.feishu.cn/hc/en-US/articles/643175485940-use-the-ai-agent-node-in-workflow</w:t>
      </w:r>
      <w:r>
        <w:rPr>
          <w:color w:val="2E74B5"/>
          <w:u w:val="single"/>
        </w:rPr>
        <w:fldChar w:fldCharType="end"/>
      </w:r>
    </w:p>
    <w:p w14:paraId="50FA2DB5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Workflow AI Agent node as orchestration interface</w:t>
      </w:r>
    </w:p>
    <w:p w14:paraId="64D17BFB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193. [FS-005] 企业级智能体开发平台定制你的AI专属工作助手. </w:t>
      </w:r>
      <w:r>
        <w:rPr>
          <w:rFonts w:ascii="Aptos" w:hAnsi="Aptos" w:eastAsia="等线"/>
          <w:b w:val="0"/>
          <w:sz w:val="21"/>
        </w:rPr>
        <w:t>Feishu,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"https://www.feishu.cn/content/3d5z9ttt" \h </w:instrText>
      </w:r>
      <w:r>
        <w:fldChar w:fldCharType="separate"/>
      </w:r>
      <w:r>
        <w:rPr>
          <w:color w:val="2E74B5"/>
          <w:u w:val="single"/>
        </w:rPr>
        <w:t>https://www.feishu.cn/content/3d5z9ttt</w:t>
      </w:r>
      <w:r>
        <w:rPr>
          <w:color w:val="2E74B5"/>
          <w:u w:val="single"/>
        </w:rPr>
        <w:fldChar w:fldCharType="end"/>
      </w:r>
    </w:p>
    <w:p w14:paraId="359FFC0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Official positioning for Aily skills knowledge data processing and enterprise integration</w:t>
      </w:r>
    </w:p>
    <w:p w14:paraId="3D82205A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194. [FS-006] 飞书智能伙伴平台Aily的对话模式. </w:t>
      </w:r>
      <w:r>
        <w:rPr>
          <w:rFonts w:ascii="Aptos" w:hAnsi="Aptos" w:eastAsia="等线"/>
          <w:b w:val="0"/>
          <w:sz w:val="21"/>
        </w:rPr>
        <w:t>Feishu,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"https://www.feishu.cn/content/kdvbmrpn" \h </w:instrText>
      </w:r>
      <w:r>
        <w:fldChar w:fldCharType="separate"/>
      </w:r>
      <w:r>
        <w:rPr>
          <w:color w:val="2E74B5"/>
          <w:u w:val="single"/>
        </w:rPr>
        <w:t>https://www.feishu.cn/content/kdvbmrpn</w:t>
      </w:r>
      <w:r>
        <w:rPr>
          <w:color w:val="2E74B5"/>
          <w:u w:val="single"/>
        </w:rPr>
        <w:fldChar w:fldCharType="end"/>
      </w:r>
    </w:p>
    <w:p w14:paraId="01C6B66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Defines reasoning workflow knowledge QA and hybrid scheduling modes</w:t>
      </w:r>
    </w:p>
    <w:p w14:paraId="4B091A1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195. [FS-007] Use AI-generated text in Workflow and Automations. </w:t>
      </w:r>
      <w:r>
        <w:rPr>
          <w:rFonts w:ascii="Aptos" w:hAnsi="Aptos" w:eastAsia="等线"/>
          <w:b w:val="0"/>
          <w:sz w:val="21"/>
        </w:rPr>
        <w:t>Feishu,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"https://www.feishu.cn/hc/en-US/articles/902812682257-use-ai-generated-text-in-workflow-and-automations" \h </w:instrText>
      </w:r>
      <w:r>
        <w:fldChar w:fldCharType="separate"/>
      </w:r>
      <w:r>
        <w:rPr>
          <w:color w:val="2E74B5"/>
          <w:u w:val="single"/>
        </w:rPr>
        <w:t>https://www.feishu.cn/hc/en-US/articles/902812682257-use-ai-generated-text-in-workflow-and-automations</w:t>
      </w:r>
      <w:r>
        <w:rPr>
          <w:color w:val="2E74B5"/>
          <w:u w:val="single"/>
        </w:rPr>
        <w:fldChar w:fldCharType="end"/>
      </w:r>
    </w:p>
    <w:p w14:paraId="6D1B0B9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Feishu workflow text generation and automation interface evidence</w:t>
      </w:r>
    </w:p>
    <w:p w14:paraId="666E4A2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196. [FS-008] 飞书知识库 AI赋能的企业级结构化知识管理工具. </w:t>
      </w:r>
      <w:r>
        <w:rPr>
          <w:rFonts w:ascii="Aptos" w:hAnsi="Aptos" w:eastAsia="等线"/>
          <w:b w:val="0"/>
          <w:sz w:val="21"/>
        </w:rPr>
        <w:t>Feishu,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"https://www.feishu.cn/product/wiki" \h </w:instrText>
      </w:r>
      <w:r>
        <w:fldChar w:fldCharType="separate"/>
      </w:r>
      <w:r>
        <w:rPr>
          <w:color w:val="2E74B5"/>
          <w:u w:val="single"/>
        </w:rPr>
        <w:t>https://www.feishu.cn/product/wiki</w:t>
      </w:r>
      <w:r>
        <w:rPr>
          <w:color w:val="2E74B5"/>
          <w:u w:val="single"/>
        </w:rPr>
        <w:fldChar w:fldCharType="end"/>
      </w:r>
    </w:p>
    <w:p w14:paraId="4D36478F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Feishu knowledge base as structured enterprise knowledge layer</w:t>
      </w:r>
    </w:p>
    <w:p w14:paraId="33BB634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197. [FS-009] Use AI to build workflows in Base. </w:t>
      </w:r>
      <w:r>
        <w:rPr>
          <w:rFonts w:ascii="Aptos" w:hAnsi="Aptos" w:eastAsia="等线"/>
          <w:b w:val="0"/>
          <w:sz w:val="21"/>
        </w:rPr>
        <w:t>Feishu,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"https://www.feishu.cn/hc/en-US/articles/317606642838-use-ai-to-build-workflows-in-base" \h </w:instrText>
      </w:r>
      <w:r>
        <w:fldChar w:fldCharType="separate"/>
      </w:r>
      <w:r>
        <w:rPr>
          <w:color w:val="2E74B5"/>
          <w:u w:val="single"/>
        </w:rPr>
        <w:t>https://www.feishu.cn/hc/en-US/articles/317606642838-use-ai-to-build-workflows-in-base</w:t>
      </w:r>
      <w:r>
        <w:rPr>
          <w:color w:val="2E74B5"/>
          <w:u w:val="single"/>
        </w:rPr>
        <w:fldChar w:fldCharType="end"/>
      </w:r>
    </w:p>
    <w:p w14:paraId="6CB1D30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Base workflow generation by AI for low-code orchestration story</w:t>
      </w:r>
    </w:p>
    <w:p w14:paraId="3DF8C9C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198. [FS-010] Overview of Feishu AI plans and AI quota usage rules. </w:t>
      </w:r>
      <w:r>
        <w:rPr>
          <w:rFonts w:ascii="Aptos" w:hAnsi="Aptos" w:eastAsia="等线"/>
          <w:b w:val="0"/>
          <w:sz w:val="21"/>
        </w:rPr>
        <w:t>Feishu, 2026。</w:t>
      </w:r>
      <w:r>
        <w:br w:type="textWrapping"/>
      </w:r>
      <w:r>
        <w:t>链接：</w:t>
      </w:r>
      <w:r>
        <w:fldChar w:fldCharType="begin"/>
      </w:r>
      <w:r>
        <w:instrText xml:space="preserve"> HYPERLINK "https://www.feishu.cn/hc/en-US/articles/629644238181-overview-of-feishu-ai-plans-and-ai-quota-usage-rules" \h </w:instrText>
      </w:r>
      <w:r>
        <w:fldChar w:fldCharType="separate"/>
      </w:r>
      <w:r>
        <w:rPr>
          <w:color w:val="2E74B5"/>
          <w:u w:val="single"/>
        </w:rPr>
        <w:t>https://www.feishu.cn/hc/en-US/articles/629644238181-overview-of-feishu-ai-plans-and-ai-quota-usage-rules</w:t>
      </w:r>
      <w:r>
        <w:rPr>
          <w:color w:val="2E74B5"/>
          <w:u w:val="single"/>
        </w:rPr>
        <w:fldChar w:fldCharType="end"/>
      </w:r>
    </w:p>
    <w:p w14:paraId="3EFC3B06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Quota and plan constraints for deployment discussion</w:t>
      </w:r>
    </w:p>
    <w:p w14:paraId="3F9831D6">
      <w:pPr>
        <w:pStyle w:val="3"/>
      </w:pPr>
      <w:r>
        <w:t>项目内部材料（不作为外部证据）</w:t>
      </w:r>
    </w:p>
    <w:p w14:paraId="73ED271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199. [INTERNAL-004] 调研数据表. </w:t>
      </w:r>
      <w:r>
        <w:rPr>
          <w:rFonts w:ascii="Aptos" w:hAnsi="Aptos" w:eastAsia="等线"/>
          <w:b w:val="0"/>
          <w:sz w:val="21"/>
        </w:rPr>
        <w:t>TrialCompiler project team, 2026。</w:t>
      </w:r>
    </w:p>
    <w:p w14:paraId="3E5A192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Internal synthesis, planning, or competition submission support</w:t>
      </w:r>
    </w:p>
    <w:p w14:paraId="2DC1F230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200. [INTERNAL-005] 附件-TrialCompiler项目风险与质量控制. </w:t>
      </w:r>
      <w:r>
        <w:rPr>
          <w:rFonts w:ascii="Aptos" w:hAnsi="Aptos" w:eastAsia="等线"/>
          <w:b w:val="0"/>
          <w:sz w:val="21"/>
        </w:rPr>
        <w:t>TrialCompiler project team, 2026。</w:t>
      </w:r>
    </w:p>
    <w:p w14:paraId="326D5F7A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Internal synthesis, planning, or competition submission support</w:t>
      </w:r>
    </w:p>
    <w:p w14:paraId="38343E16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201. [INTERNAL-006] 附件-价值测算模型与基线数据表. </w:t>
      </w:r>
      <w:r>
        <w:rPr>
          <w:rFonts w:ascii="Aptos" w:hAnsi="Aptos" w:eastAsia="等线"/>
          <w:b w:val="0"/>
          <w:sz w:val="21"/>
        </w:rPr>
        <w:t>TrialCompiler project team, 2026。</w:t>
      </w:r>
    </w:p>
    <w:p w14:paraId="30B139CE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Internal synthesis, planning, or competition submission support</w:t>
      </w:r>
    </w:p>
    <w:p w14:paraId="00AEAA0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202. [INTERNAL-007] 附件-用户反馈与行业专家访谈综合分析. </w:t>
      </w:r>
      <w:r>
        <w:rPr>
          <w:rFonts w:ascii="Aptos" w:hAnsi="Aptos" w:eastAsia="等线"/>
          <w:b w:val="0"/>
          <w:sz w:val="21"/>
        </w:rPr>
        <w:t>TrialCompiler project team, 2026。</w:t>
      </w:r>
    </w:p>
    <w:p w14:paraId="23DFB218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Internal synthesis, planning, or competition submission support</w:t>
      </w:r>
    </w:p>
    <w:p w14:paraId="4821F2C7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203. [INTERNAL-008] 附件-行业分析报告. </w:t>
      </w:r>
      <w:r>
        <w:rPr>
          <w:rFonts w:ascii="Aptos" w:hAnsi="Aptos" w:eastAsia="等线"/>
          <w:b w:val="0"/>
          <w:sz w:val="21"/>
        </w:rPr>
        <w:t>TrialCompiler project team, 2026。</w:t>
      </w:r>
    </w:p>
    <w:p w14:paraId="00EC10DD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Internal synthesis, planning, or competition submission support</w:t>
      </w:r>
    </w:p>
    <w:p w14:paraId="5482BF12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204. [INTERNAL-010] TrialCompiler_附件资料任务清单. </w:t>
      </w:r>
      <w:r>
        <w:rPr>
          <w:rFonts w:ascii="Aptos" w:hAnsi="Aptos" w:eastAsia="等线"/>
          <w:b w:val="0"/>
          <w:sz w:val="21"/>
        </w:rPr>
        <w:t>TrialCompiler project team, 2026。</w:t>
      </w:r>
    </w:p>
    <w:p w14:paraId="7F358A9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Internal synthesis, planning, or competition submission support</w:t>
      </w:r>
    </w:p>
    <w:p w14:paraId="100B1EAE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205. [INTERNAL-011] 附件_TrialCompiler总体架构与受控数据流. </w:t>
      </w:r>
      <w:r>
        <w:rPr>
          <w:rFonts w:ascii="Aptos" w:hAnsi="Aptos" w:eastAsia="等线"/>
          <w:b w:val="0"/>
          <w:sz w:val="21"/>
        </w:rPr>
        <w:t>TrialCompiler project team, 2026。</w:t>
      </w:r>
    </w:p>
    <w:p w14:paraId="29635059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Internal synthesis, planning, or competition submission support</w:t>
      </w:r>
    </w:p>
    <w:p w14:paraId="01D0F9B5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206. [INTERNAL-012] 附件_临床研究法规标准与TrialCompiler功能映射表. </w:t>
      </w:r>
      <w:r>
        <w:rPr>
          <w:rFonts w:ascii="Aptos" w:hAnsi="Aptos" w:eastAsia="等线"/>
          <w:b w:val="0"/>
          <w:sz w:val="21"/>
        </w:rPr>
        <w:t>TrialCompiler project team, 2026。</w:t>
      </w:r>
    </w:p>
    <w:p w14:paraId="6CA61F56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Internal synthesis, planning, or competition submission support</w:t>
      </w:r>
    </w:p>
    <w:p w14:paraId="0270DB38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207. [LOCAL-001] README_使用说明. </w:t>
      </w:r>
      <w:r>
        <w:rPr>
          <w:rFonts w:ascii="Aptos" w:hAnsi="Aptos" w:eastAsia="等线"/>
          <w:b w:val="0"/>
          <w:sz w:val="21"/>
        </w:rPr>
        <w:t>TrialCompiler project team, 2026。</w:t>
      </w:r>
    </w:p>
    <w:p w14:paraId="7FA4E35B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Source-package administration or internal documentation</w:t>
      </w:r>
    </w:p>
    <w:p w14:paraId="3B65C501">
      <w:pPr>
        <w:keepNext/>
        <w:keepLines/>
        <w:spacing w:after="40"/>
        <w:ind w:left="403" w:hanging="403"/>
      </w:pPr>
      <w:r>
        <w:rPr>
          <w:rFonts w:ascii="Aptos" w:hAnsi="Aptos" w:eastAsia="等线"/>
          <w:b/>
          <w:sz w:val="21"/>
        </w:rPr>
        <w:t xml:space="preserve">208. [LOCAL-002] 医学知识库权威资料索引_20260717. </w:t>
      </w:r>
      <w:r>
        <w:rPr>
          <w:rFonts w:ascii="Aptos" w:hAnsi="Aptos" w:eastAsia="等线"/>
          <w:b w:val="0"/>
          <w:sz w:val="21"/>
        </w:rPr>
        <w:t>TrialCompiler project team, 2026。</w:t>
      </w:r>
    </w:p>
    <w:p w14:paraId="3D63D351">
      <w:pPr>
        <w:keepLines/>
        <w:spacing w:after="120"/>
        <w:ind w:left="403"/>
      </w:pPr>
      <w:r>
        <w:rPr>
          <w:rFonts w:ascii="Aptos" w:hAnsi="Aptos" w:eastAsia="等线"/>
          <w:b/>
          <w:color w:val="1F4D78"/>
          <w:sz w:val="19"/>
        </w:rPr>
        <w:t>项目用途：</w:t>
      </w:r>
      <w:r>
        <w:rPr>
          <w:rFonts w:ascii="Aptos" w:hAnsi="Aptos" w:eastAsia="等线"/>
          <w:b w:val="0"/>
          <w:color w:val="5A6069"/>
          <w:sz w:val="19"/>
        </w:rPr>
        <w:t>Source-package administration or internal documentation</w:t>
      </w:r>
    </w:p>
    <w:p w14:paraId="454548A2">
      <w:pPr>
        <w:pStyle w:val="3"/>
      </w:pPr>
      <w:r>
        <w:t>数据来源与评测基线说明</w:t>
      </w:r>
    </w:p>
    <w:p w14:paraId="09C16FAD">
      <w:r>
        <w:t>本项目真实案例来自ClinicalTrials.gov API v2、研究登记页及公开附件。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224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82D6E">
    <w:pPr>
      <w:pStyle w:val="24"/>
      <w:jc w:val="right"/>
    </w:pPr>
    <w:r>
      <w:rPr>
        <w:rFonts w:ascii="Aptos" w:hAnsi="Aptos" w:eastAsia="等线"/>
        <w:b w:val="0"/>
        <w:color w:val="5A606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Aptos" w:hAnsi="Aptos" w:eastAsia="等线"/>
        <w:b w:val="0"/>
        <w:color w:val="5A606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C0281">
    <w:pPr>
      <w:pStyle w:val="25"/>
      <w:jc w:val="right"/>
    </w:pPr>
    <w:r>
      <w:rPr>
        <w:rFonts w:ascii="Aptos" w:hAnsi="Aptos" w:eastAsia="等线"/>
        <w:b/>
        <w:color w:val="5A6069"/>
        <w:sz w:val="17"/>
      </w:rPr>
      <w:t>TRIALCOMPILER  ·  REFERENCES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6B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ptos" w:hAnsi="Aptos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360"/>
    </w:pPr>
    <w:rPr>
      <w:rFonts w:asciiTheme="majorHAnsi" w:hAnsiTheme="majorHAnsi" w:eastAsiaTheme="majorEastAsia" w:cstheme="majorBidi"/>
      <w:i/>
      <w:iCs/>
      <w:color w:val="5A6069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color w:val="1F4D78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4746</Words>
  <Characters>28102</Characters>
  <Lines>0</Lines>
  <Paragraphs>0</Paragraphs>
  <TotalTime>1</TotalTime>
  <ScaleCrop>false</ScaleCrop>
  <LinksUpToDate>false</LinksUpToDate>
  <CharactersWithSpaces>30218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TrialCompiler 项目组</dc:creator>
  <dc:description>generated by python-docx</dc:description>
  <cp:lastModifiedBy>板栗</cp:lastModifiedBy>
  <dcterms:modified xsi:type="dcterms:W3CDTF">2026-07-19T12:45:09Z</dcterms:modified>
  <dc:subject>项目提交统一参考文献表</dc:subject>
  <dc:title>TrialCompiler 项目完整参考文献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eyJoZGlkIjoiODYwZjBkNjY3YWM3NzNlZmMxZDkyODZlZGUxMzlhZjEiLCJ1c2VySWQiOiI2Nzk5MzcxNjcifQ==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620B2D1C9784400F833196103DB335BB_12</vt:lpwstr>
  </property>
</Properties>
</file>