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TrialCompiler 项目完整参考文献</w:t>
      </w:r>
    </w:p>
    <w:p>
      <w:pPr>
        <w:pStyle w:val="Subtitle"/>
        <w:jc w:val="center"/>
      </w:pPr>
      <w:r>
        <w:t>法规 · 临床文件 · 数据标准 · AI方法 · 不确定性与可解释性 · 行业证据</w:t>
      </w:r>
    </w:p>
    <w:p>
      <w:pPr>
        <w:jc w:val="center"/>
      </w:pPr>
      <w:r>
        <w:rPr>
          <w:rFonts w:ascii="Aptos" w:hAnsi="Aptos" w:eastAsia="等线"/>
          <w:b/>
          <w:color w:val="1F4D78"/>
          <w:sz w:val="20"/>
        </w:rPr>
        <w:t>规范化来源 208 条  |  按主题分类并保留原始链接</w:t>
      </w:r>
    </w:p>
    <w:p>
      <w:pPr>
        <w:pStyle w:val="Heading1"/>
      </w:pPr>
      <w:r>
        <w:t>引用与证据边界</w:t>
      </w:r>
    </w:p>
    <w:p>
      <w:pPr>
        <w:pStyle w:val="ListBullet"/>
        <w:spacing w:after="80"/>
        <w:ind w:left="540" w:hanging="271"/>
      </w:pPr>
      <w:r>
        <w:t>法规、伦理、统计与文件要求优先引用监管机构、国际标准组织及正式指南的原始页面。</w:t>
      </w:r>
    </w:p>
    <w:p>
      <w:pPr>
        <w:pStyle w:val="ListBullet"/>
        <w:spacing w:after="80"/>
        <w:ind w:left="540" w:hanging="271"/>
      </w:pPr>
      <w:r>
        <w:t>人工智能、不确定性与可解释性方法引用原始论文、会议或正式出版页面。</w:t>
      </w:r>
    </w:p>
    <w:p>
      <w:pPr>
        <w:pStyle w:val="ListBullet"/>
        <w:spacing w:after="80"/>
        <w:ind w:left="540" w:hanging="271"/>
      </w:pPr>
      <w:r>
        <w:t>厂商材料只支持功能和市场比较，不支持监管合规或临床有效性结论。</w:t>
      </w:r>
    </w:p>
    <w:p>
      <w:pPr>
        <w:pStyle w:val="ListBullet"/>
        <w:spacing w:after="80"/>
        <w:ind w:left="540" w:hanging="271"/>
      </w:pPr>
      <w:r>
        <w:t>ClinicalTrials.gov登记和公开附件在本项目评测中作为冻结正确基线；受控变异副本才是缺陷正例。</w:t>
      </w:r>
    </w:p>
    <w:p>
      <w:pPr>
        <w:pStyle w:val="ListBullet"/>
        <w:spacing w:after="80"/>
        <w:ind w:left="540" w:hanging="271"/>
      </w:pPr>
      <w:r>
        <w:t>INTERNAL材料只记录项目形成过程，不作为外部事实依据。</w:t>
      </w:r>
    </w:p>
    <w:p>
      <w:pPr>
        <w:pStyle w:val="Heading1"/>
      </w:pPr>
      <w:r>
        <w:t>法规、监管指南与研究伦理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1. [CN-001] 药物临床试验质量管理规范 2020. </w:t>
      </w:r>
      <w:r>
        <w:rPr>
          <w:rFonts w:ascii="Aptos" w:hAnsi="Aptos" w:eastAsia="等线"/>
          <w:b w:val="0"/>
          <w:sz w:val="21"/>
        </w:rPr>
        <w:t>NMPA and National Health Commission, 2020。</w:t>
      </w:r>
      <w:r>
        <w:t xml:space="preserve"> </w:t>
      </w:r>
      <w:hyperlink r:id="rId1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GCP baseline for clinical trial quality and protocol governance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2. [CN-002] 药物临床试验质量管理规范 2026年修订. </w:t>
      </w:r>
      <w:r>
        <w:rPr>
          <w:rFonts w:ascii="Aptos" w:hAnsi="Aptos" w:eastAsia="等线"/>
          <w:b w:val="0"/>
          <w:sz w:val="21"/>
        </w:rPr>
        <w:t>NMPA and NHC and NATCM and NCDC, 2026。</w:t>
      </w:r>
      <w:r>
        <w:t xml:space="preserve"> </w:t>
      </w:r>
      <w:hyperlink r:id="rId1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Latest public Chinese GCP revision and quality responsibility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3. [CN-003] 药物临床试验数据管理与统计分析计划指导原则. </w:t>
      </w:r>
      <w:r>
        <w:rPr>
          <w:rFonts w:ascii="Aptos" w:hAnsi="Aptos" w:eastAsia="等线"/>
          <w:b w:val="0"/>
          <w:sz w:val="21"/>
        </w:rPr>
        <w:t>CDE, 2021。</w:t>
      </w:r>
      <w:r>
        <w:t xml:space="preserve"> </w:t>
      </w:r>
      <w:hyperlink r:id="rId1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source for data management plan and SAP structure after protocol confirmation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4. [CN-004] 药物临床试验期间方案变更技术指导原则试行. </w:t>
      </w:r>
      <w:r>
        <w:rPr>
          <w:rFonts w:ascii="Aptos" w:hAnsi="Aptos" w:eastAsia="等线"/>
          <w:b w:val="0"/>
          <w:sz w:val="21"/>
        </w:rPr>
        <w:t>CDE, 2022。</w:t>
      </w:r>
      <w:r>
        <w:t xml:space="preserve"> </w:t>
      </w:r>
      <w:hyperlink r:id="rId1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source for protocol amendment scenarios and assessment points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5. [CN-005] CDE发布药物临床试验期间方案变更技术指导原则试行. </w:t>
      </w:r>
      <w:r>
        <w:rPr>
          <w:rFonts w:ascii="Aptos" w:hAnsi="Aptos" w:eastAsia="等线"/>
          <w:b w:val="0"/>
          <w:sz w:val="21"/>
        </w:rPr>
        <w:t>中国食品药品网, 2022。</w:t>
      </w:r>
      <w:r>
        <w:t xml:space="preserve"> </w:t>
      </w:r>
      <w:hyperlink r:id="rId1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CDE announcement text and access path for protocol amendment guidance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6. [CN-006] CDE发布药物临床试验数据管理与统计分析计划指导原则. </w:t>
      </w:r>
      <w:r>
        <w:rPr>
          <w:rFonts w:ascii="Aptos" w:hAnsi="Aptos" w:eastAsia="等线"/>
          <w:b w:val="0"/>
          <w:sz w:val="21"/>
        </w:rPr>
        <w:t>中国食品药品网, 2022。</w:t>
      </w:r>
      <w:r>
        <w:t xml:space="preserve"> </w:t>
      </w:r>
      <w:hyperlink r:id="rId1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CDE announcement text and access path for data management and SAP guidance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7. [GOV-004] Artificial Intelligence for Drug Development. </w:t>
      </w:r>
      <w:r>
        <w:rPr>
          <w:rFonts w:ascii="Aptos" w:hAnsi="Aptos" w:eastAsia="等线"/>
          <w:b w:val="0"/>
          <w:sz w:val="21"/>
        </w:rPr>
        <w:t>US FDA, 2026。</w:t>
      </w:r>
      <w:r>
        <w:t xml:space="preserve"> </w:t>
      </w:r>
      <w:hyperlink r:id="rId1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FDA resource hub for AI in drug development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8. [M1-01] ICH E6(R3) Principles and Annex 1. </w:t>
      </w:r>
      <w:r>
        <w:rPr>
          <w:rFonts w:ascii="Aptos" w:hAnsi="Aptos" w:eastAsia="等线"/>
          <w:b w:val="0"/>
          <w:sz w:val="21"/>
        </w:rPr>
        <w:t>ICH, 2025。</w:t>
      </w:r>
      <w:r>
        <w:t xml:space="preserve"> </w:t>
      </w:r>
      <w:hyperlink r:id="rId1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GCP核心；覆盖方案、质量管理、数据治理和研究者/申办者职责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9. [M1-02] ICH E6(R3) Annex 2. </w:t>
      </w:r>
      <w:r>
        <w:rPr>
          <w:rFonts w:ascii="Aptos" w:hAnsi="Aptos" w:eastAsia="等线"/>
          <w:b w:val="0"/>
          <w:sz w:val="21"/>
        </w:rPr>
        <w:t>ICH, 2026。</w:t>
      </w:r>
      <w:r>
        <w:t xml:space="preserve"> </w:t>
      </w:r>
      <w:hyperlink r:id="rId1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去中心化、真实世界数据等新型试验设计的GCP补充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10. [M1-03] ICH E8(R1) General Considerations for Clinical Studies. </w:t>
      </w:r>
      <w:r>
        <w:rPr>
          <w:rFonts w:ascii="Aptos" w:hAnsi="Aptos" w:eastAsia="等线"/>
          <w:b w:val="0"/>
          <w:sz w:val="21"/>
        </w:rPr>
        <w:t>ICH, 2021。</w:t>
      </w:r>
      <w:r>
        <w:t xml:space="preserve"> </w:t>
      </w:r>
      <w:hyperlink r:id="rId2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质量源于设计、试验目的和关键质量因素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11. [M1-06] ICH E2A Clinical Safety Data Management. </w:t>
      </w:r>
      <w:r>
        <w:rPr>
          <w:rFonts w:ascii="Aptos" w:hAnsi="Aptos" w:eastAsia="等线"/>
          <w:b w:val="0"/>
          <w:sz w:val="21"/>
        </w:rPr>
        <w:t>ICH, 1994。</w:t>
      </w:r>
      <w:r>
        <w:t xml:space="preserve"> </w:t>
      </w:r>
      <w:hyperlink r:id="rId2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严重不良事件和快速报告定义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12. [M1-11] Guidance for Best Practices for Clinical Trials. </w:t>
      </w:r>
      <w:r>
        <w:rPr>
          <w:rFonts w:ascii="Aptos" w:hAnsi="Aptos" w:eastAsia="等线"/>
          <w:b w:val="0"/>
          <w:sz w:val="21"/>
        </w:rPr>
        <w:t>WHO, 2024。</w:t>
      </w:r>
      <w:r>
        <w:t xml:space="preserve"> </w:t>
      </w:r>
      <w:hyperlink r:id="rId2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全球临床试验生态、伦理、监管和注册最佳实践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13. [M1-12] Declaration of Helsinki 2024. </w:t>
      </w:r>
      <w:r>
        <w:rPr>
          <w:rFonts w:ascii="Aptos" w:hAnsi="Aptos" w:eastAsia="等线"/>
          <w:b w:val="0"/>
          <w:sz w:val="21"/>
        </w:rPr>
        <w:t>WMA, 2024。</w:t>
      </w:r>
      <w:r>
        <w:t xml:space="preserve"> </w:t>
      </w:r>
      <w:hyperlink r:id="rId2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人体医学研究伦理基本原则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14. [M1-13] International Ethical Guidelines for Health-related Research Involving Humans. </w:t>
      </w:r>
      <w:r>
        <w:rPr>
          <w:rFonts w:ascii="Aptos" w:hAnsi="Aptos" w:eastAsia="等线"/>
          <w:b w:val="0"/>
          <w:sz w:val="21"/>
        </w:rPr>
        <w:t>CIOMS/WHO, 2016。</w:t>
      </w:r>
      <w:r>
        <w:t xml:space="preserve"> </w:t>
      </w:r>
      <w:hyperlink r:id="rId2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脆弱人群、知情同意、公平性和伦理审查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15. [M1-14] 药物临床试验质量管理规范. </w:t>
      </w:r>
      <w:r>
        <w:rPr>
          <w:rFonts w:ascii="Aptos" w:hAnsi="Aptos" w:eastAsia="等线"/>
          <w:b w:val="0"/>
          <w:sz w:val="21"/>
        </w:rPr>
        <w:t>国家药监局等四部门, 2026。</w:t>
      </w:r>
      <w:r>
        <w:t xml:space="preserve"> </w:t>
      </w:r>
      <w:hyperlink r:id="rId2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中国GCP核心法规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16. [M1-15] 药物临床试验质量管理规范政策问答. </w:t>
      </w:r>
      <w:r>
        <w:rPr>
          <w:rFonts w:ascii="Aptos" w:hAnsi="Aptos" w:eastAsia="等线"/>
          <w:b w:val="0"/>
          <w:sz w:val="21"/>
        </w:rPr>
        <w:t>国家药监局等四部门, 2026。</w:t>
      </w:r>
      <w:r>
        <w:t xml:space="preserve"> </w:t>
      </w:r>
      <w:hyperlink r:id="rId2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解释新版中国GCP执行要点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17. [M1-16] SPIRIT 2025 Statement.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t xml:space="preserve"> </w:t>
      </w:r>
      <w:hyperlink r:id="rId2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临床试验方案最低报告项目清单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18. [M1-17] SPIRIT 2025 Explanation and Elaboration.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t xml:space="preserve"> </w:t>
      </w:r>
      <w:hyperlink r:id="rId2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SPIRIT逐条解释、示例和操作依据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19. [M1-18] CONSORT 2025 Statement.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t xml:space="preserve"> </w:t>
      </w:r>
      <w:hyperlink r:id="rId2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随机对照试验结果报告清单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20. [M1-19] CONSORT 2025 Explanation and Elaboration. </w:t>
      </w:r>
      <w:r>
        <w:rPr>
          <w:rFonts w:ascii="Aptos" w:hAnsi="Aptos" w:eastAsia="等线"/>
          <w:b w:val="0"/>
          <w:sz w:val="21"/>
        </w:rPr>
        <w:t>SPIRIT/CONSORT Group; BMJ, 2025。</w:t>
      </w:r>
      <w:r>
        <w:t xml:space="preserve"> </w:t>
      </w:r>
      <w:hyperlink r:id="rId3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CONSORT逐条解释和实例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21. [M2-01] Adaptive Designs for Clinical Trials of Drugs and Biologics. </w:t>
      </w:r>
      <w:r>
        <w:rPr>
          <w:rFonts w:ascii="Aptos" w:hAnsi="Aptos" w:eastAsia="等线"/>
          <w:b w:val="0"/>
          <w:sz w:val="21"/>
        </w:rPr>
        <w:t>FDA, 2019。</w:t>
      </w:r>
      <w:r>
        <w:t xml:space="preserve"> </w:t>
      </w:r>
      <w:hyperlink r:id="rId3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自适应设计原则、模拟与操作偏倚控制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22. [M2-02] Enrichment Strategies for Clinical Trials. </w:t>
      </w:r>
      <w:r>
        <w:rPr>
          <w:rFonts w:ascii="Aptos" w:hAnsi="Aptos" w:eastAsia="等线"/>
          <w:b w:val="0"/>
          <w:sz w:val="21"/>
        </w:rPr>
        <w:t>FDA, 2019。</w:t>
      </w:r>
      <w:r>
        <w:t xml:space="preserve"> </w:t>
      </w:r>
      <w:hyperlink r:id="rId3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富集设计、入组人群选择与获益风险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23. [M2-03] Adjusting for Covariates in Randomized Clinical Trials. </w:t>
      </w:r>
      <w:r>
        <w:rPr>
          <w:rFonts w:ascii="Aptos" w:hAnsi="Aptos" w:eastAsia="等线"/>
          <w:b w:val="0"/>
          <w:sz w:val="21"/>
        </w:rPr>
        <w:t>FDA, 2023。</w:t>
      </w:r>
      <w:r>
        <w:t xml:space="preserve"> </w:t>
      </w:r>
      <w:hyperlink r:id="rId3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协变量预设、效率提升和统计分析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24. [M2-04] Conducting Clinical Trials With Decentralized Elements. </w:t>
      </w:r>
      <w:r>
        <w:rPr>
          <w:rFonts w:ascii="Aptos" w:hAnsi="Aptos" w:eastAsia="等线"/>
          <w:b w:val="0"/>
          <w:sz w:val="21"/>
        </w:rPr>
        <w:t>FDA, 2024。</w:t>
      </w:r>
      <w:r>
        <w:t xml:space="preserve"> </w:t>
      </w:r>
      <w:hyperlink r:id="rId3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远程访视、数字工具、本地服务与数据质量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25. [M2-05] Protocol Deviations for Clinical Investigations. </w:t>
      </w:r>
      <w:r>
        <w:rPr>
          <w:rFonts w:ascii="Aptos" w:hAnsi="Aptos" w:eastAsia="等线"/>
          <w:b w:val="0"/>
          <w:sz w:val="21"/>
        </w:rPr>
        <w:t>FDA, 2024。</w:t>
      </w:r>
      <w:r>
        <w:t xml:space="preserve"> </w:t>
      </w:r>
      <w:hyperlink r:id="rId3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偏离分类、报告和预防性管理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26. [M2-06] Use of Bayesian Methodology in Clinical Trials. </w:t>
      </w:r>
      <w:r>
        <w:rPr>
          <w:rFonts w:ascii="Aptos" w:hAnsi="Aptos" w:eastAsia="等线"/>
          <w:b w:val="0"/>
          <w:sz w:val="21"/>
        </w:rPr>
        <w:t>FDA, 2026。</w:t>
      </w:r>
      <w:r>
        <w:t xml:space="preserve"> </w:t>
      </w:r>
      <w:hyperlink r:id="rId3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贝叶斯设计、先验信息和操作特征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27. [M2-07] ICH E10 Choice of Control Group and Related Issues. </w:t>
      </w:r>
      <w:r>
        <w:rPr>
          <w:rFonts w:ascii="Aptos" w:hAnsi="Aptos" w:eastAsia="等线"/>
          <w:b w:val="0"/>
          <w:sz w:val="21"/>
        </w:rPr>
        <w:t>ICH, 2000。</w:t>
      </w:r>
      <w:r>
        <w:t xml:space="preserve"> </w:t>
      </w:r>
      <w:hyperlink r:id="rId3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对照组选择、优效/非劣效及伦理考虑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28. [M2-09] ICH E4 Dose-Response Information to Support Drug Registration. </w:t>
      </w:r>
      <w:r>
        <w:rPr>
          <w:rFonts w:ascii="Aptos" w:hAnsi="Aptos" w:eastAsia="等线"/>
          <w:b w:val="0"/>
          <w:sz w:val="21"/>
        </w:rPr>
        <w:t>ICH, 1994。</w:t>
      </w:r>
      <w:r>
        <w:t xml:space="preserve"> </w:t>
      </w:r>
      <w:hyperlink r:id="rId3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剂量探索、剂量-反应设计与分析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29. [M2-10] ICH E5(R1) Ethnic Factors in Acceptability of Foreign Clinical Data. </w:t>
      </w:r>
      <w:r>
        <w:rPr>
          <w:rFonts w:ascii="Aptos" w:hAnsi="Aptos" w:eastAsia="等线"/>
          <w:b w:val="0"/>
          <w:sz w:val="21"/>
        </w:rPr>
        <w:t>ICH, 1998。</w:t>
      </w:r>
      <w:r>
        <w:t xml:space="preserve"> </w:t>
      </w:r>
      <w:hyperlink r:id="rId3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桥接研究和种族因素评估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30. [M2-11] ICH E7 Studies in Support of Special Populations: Geriatrics. </w:t>
      </w:r>
      <w:r>
        <w:rPr>
          <w:rFonts w:ascii="Aptos" w:hAnsi="Aptos" w:eastAsia="等线"/>
          <w:b w:val="0"/>
          <w:sz w:val="21"/>
        </w:rPr>
        <w:t>ICH, 1993。</w:t>
      </w:r>
      <w:r>
        <w:t xml:space="preserve"> </w:t>
      </w:r>
      <w:hyperlink r:id="rId4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老年人群代表性、安全性与剂量研究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31. [M2-12] ICH E11(R1) Clinical Investigation in the Pediatric Population. </w:t>
      </w:r>
      <w:r>
        <w:rPr>
          <w:rFonts w:ascii="Aptos" w:hAnsi="Aptos" w:eastAsia="等线"/>
          <w:b w:val="0"/>
          <w:sz w:val="21"/>
        </w:rPr>
        <w:t>ICH, 2017。</w:t>
      </w:r>
      <w:r>
        <w:t xml:space="preserve"> </w:t>
      </w:r>
      <w:hyperlink r:id="rId4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儿童临床开发与伦理、年龄分层和研究设计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32. [M2-13] ICH E11A Pediatric Extrapolation. </w:t>
      </w:r>
      <w:r>
        <w:rPr>
          <w:rFonts w:ascii="Aptos" w:hAnsi="Aptos" w:eastAsia="等线"/>
          <w:b w:val="0"/>
          <w:sz w:val="21"/>
        </w:rPr>
        <w:t>ICH, 2024。</w:t>
      </w:r>
      <w:r>
        <w:t xml:space="preserve"> </w:t>
      </w:r>
      <w:hyperlink r:id="rId4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儿童外推计划、证据整合和不确定性处理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33. [M2-14] ICH E18 Genomic Sampling and Management of Genomic Data. </w:t>
      </w:r>
      <w:r>
        <w:rPr>
          <w:rFonts w:ascii="Aptos" w:hAnsi="Aptos" w:eastAsia="等线"/>
          <w:b w:val="0"/>
          <w:sz w:val="21"/>
        </w:rPr>
        <w:t>ICH, 2017。</w:t>
      </w:r>
      <w:r>
        <w:t xml:space="preserve"> </w:t>
      </w:r>
      <w:hyperlink r:id="rId4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基因组样本、数据、隐私和知情同意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34. [M2-15] ICH E19 Selective Safety Data Collection. </w:t>
      </w:r>
      <w:r>
        <w:rPr>
          <w:rFonts w:ascii="Aptos" w:hAnsi="Aptos" w:eastAsia="等线"/>
          <w:b w:val="0"/>
          <w:sz w:val="21"/>
        </w:rPr>
        <w:t>ICH, 2022。</w:t>
      </w:r>
      <w:r>
        <w:t xml:space="preserve"> </w:t>
      </w:r>
      <w:hyperlink r:id="rId4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特定后期试验的风险比例化安全数据收集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35. [M2-16] ICH E2D(R1) Post-Approval Safety Data. </w:t>
      </w:r>
      <w:r>
        <w:rPr>
          <w:rFonts w:ascii="Aptos" w:hAnsi="Aptos" w:eastAsia="等线"/>
          <w:b w:val="0"/>
          <w:sz w:val="21"/>
        </w:rPr>
        <w:t>ICH, 2025。</w:t>
      </w:r>
      <w:r>
        <w:t xml:space="preserve"> </w:t>
      </w:r>
      <w:hyperlink r:id="rId4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上市后个例安全报告定义和管理标准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36. [MED-001] ICH M11 Clinical electronic Structured Harmonised Protocol CeSHarP final guideline. </w:t>
      </w:r>
      <w:r>
        <w:rPr>
          <w:rFonts w:ascii="Aptos" w:hAnsi="Aptos" w:eastAsia="等线"/>
          <w:b w:val="0"/>
          <w:sz w:val="21"/>
        </w:rPr>
        <w:t>ICH, 2025。</w:t>
      </w:r>
      <w:r>
        <w:t xml:space="preserve"> </w:t>
      </w:r>
      <w:hyperlink r:id="rId4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protocol standard and Trial Fact Sheet rationale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37. [MED-003] ICH M11 Explainer. </w:t>
      </w:r>
      <w:r>
        <w:rPr>
          <w:rFonts w:ascii="Aptos" w:hAnsi="Aptos" w:eastAsia="等线"/>
          <w:b w:val="0"/>
          <w:sz w:val="21"/>
        </w:rPr>
        <w:t>ICH, 2026。</w:t>
      </w:r>
      <w:r>
        <w:t xml:space="preserve"> </w:t>
      </w:r>
      <w:hyperlink r:id="rId4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Concise official story for structured protocol deliverables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38. [MED-004] M11 Clinical Electronic Structured Harmonised Protocol. </w:t>
      </w:r>
      <w:r>
        <w:rPr>
          <w:rFonts w:ascii="Aptos" w:hAnsi="Aptos" w:eastAsia="等线"/>
          <w:b w:val="0"/>
          <w:sz w:val="21"/>
        </w:rPr>
        <w:t>US FDA, 2026。</w:t>
      </w:r>
      <w:r>
        <w:t xml:space="preserve"> </w:t>
      </w:r>
      <w:hyperlink r:id="rId4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 adoption page for ICH M11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39. [MED-005] ICH M11 guideline clinical study protocol template and technical specifications scientific guideline. </w:t>
      </w:r>
      <w:r>
        <w:rPr>
          <w:rFonts w:ascii="Aptos" w:hAnsi="Aptos" w:eastAsia="等线"/>
          <w:b w:val="0"/>
          <w:sz w:val="21"/>
        </w:rPr>
        <w:t>European Medicines Agency, 2023。</w:t>
      </w:r>
      <w:r>
        <w:t xml:space="preserve"> </w:t>
      </w:r>
      <w:hyperlink r:id="rId4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EU regulatory context for harmonised protocol preparation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40. [MED-006] SPIRIT 2013 Checklist recommended items to address in a clinical trial protocol and related documents. </w:t>
      </w:r>
      <w:r>
        <w:rPr>
          <w:rFonts w:ascii="Aptos" w:hAnsi="Aptos" w:eastAsia="等线"/>
          <w:b w:val="0"/>
          <w:sz w:val="21"/>
        </w:rPr>
        <w:t>SPIRIT Group, 2013。</w:t>
      </w:r>
      <w:r>
        <w:t xml:space="preserve"> </w:t>
      </w:r>
      <w:hyperlink r:id="rId5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completeness and amendment-tracking checklist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41. [MED-007] SPIRIT 2013 Statement defining standard protocol items for clinical trials. </w:t>
      </w:r>
      <w:r>
        <w:rPr>
          <w:rFonts w:ascii="Aptos" w:hAnsi="Aptos" w:eastAsia="等线"/>
          <w:b w:val="0"/>
          <w:sz w:val="21"/>
        </w:rPr>
        <w:t>SPIRIT Group, 2013。</w:t>
      </w:r>
      <w:r>
        <w:t xml:space="preserve"> </w:t>
      </w:r>
      <w:hyperlink r:id="rId5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item taxonomy and schedule examples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42. [MED-008] SPIRIT electronic protocol tool and resource SEPTRE overview. </w:t>
      </w:r>
      <w:r>
        <w:rPr>
          <w:rFonts w:ascii="Aptos" w:hAnsi="Aptos" w:eastAsia="等线"/>
          <w:b w:val="0"/>
          <w:sz w:val="21"/>
        </w:rPr>
        <w:t>SPIRIT Group, 2026。</w:t>
      </w:r>
      <w:r>
        <w:t xml:space="preserve"> </w:t>
      </w:r>
      <w:hyperlink r:id="rId5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Existing protocol creation and management tool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43. [MED-009] SPIRIT-AI extension for clinical trial protocols involving AI interventions. </w:t>
      </w:r>
      <w:r>
        <w:rPr>
          <w:rFonts w:ascii="Aptos" w:hAnsi="Aptos" w:eastAsia="等线"/>
          <w:b w:val="0"/>
          <w:sz w:val="21"/>
        </w:rPr>
        <w:t>BMJ and SPIRIT-AI Group, 2020。</w:t>
      </w:r>
      <w:r>
        <w:t xml:space="preserve"> </w:t>
      </w:r>
      <w:hyperlink r:id="rId5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AI-related protocol items and AI trial documentation boundaries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44. [MED-010] CONSORT 2010 Statement updated guidelines for reporting parallel group randomised trials. </w:t>
      </w:r>
      <w:r>
        <w:rPr>
          <w:rFonts w:ascii="Aptos" w:hAnsi="Aptos" w:eastAsia="等线"/>
          <w:b w:val="0"/>
          <w:sz w:val="21"/>
        </w:rPr>
        <w:t>BMC Medicine, 2010。</w:t>
      </w:r>
      <w:r>
        <w:t xml:space="preserve"> </w:t>
      </w:r>
      <w:hyperlink r:id="rId5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Trial reporting checklist and consistency principles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45. [MED-011] ClinicalTrials.gov Protocol Registration Data Element Definitions for Interventional and Observational Studies. </w:t>
      </w:r>
      <w:r>
        <w:rPr>
          <w:rFonts w:ascii="Aptos" w:hAnsi="Aptos" w:eastAsia="等线"/>
          <w:b w:val="0"/>
          <w:sz w:val="21"/>
        </w:rPr>
        <w:t>ClinicalTrials.gov and NLM, 2026。</w:t>
      </w:r>
      <w:r>
        <w:t xml:space="preserve"> </w:t>
      </w:r>
      <w:hyperlink r:id="rId5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vocabulary for endpoints arms eligibility and outcomes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46. [MED-013] ICH E6(R3) Good Clinical Practice guideline. </w:t>
      </w:r>
      <w:r>
        <w:rPr>
          <w:rFonts w:ascii="Aptos" w:hAnsi="Aptos" w:eastAsia="等线"/>
          <w:b w:val="0"/>
          <w:sz w:val="21"/>
        </w:rPr>
        <w:t>ICH, 2025。</w:t>
      </w:r>
      <w:r>
        <w:t xml:space="preserve"> </w:t>
      </w:r>
      <w:hyperlink r:id="rId5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Quality by design and human responsibility boundary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47. [MED-014] ICH E8(R1) General Considerations for Clinical Studies. </w:t>
      </w:r>
      <w:r>
        <w:rPr>
          <w:rFonts w:ascii="Aptos" w:hAnsi="Aptos" w:eastAsia="等线"/>
          <w:b w:val="0"/>
          <w:sz w:val="21"/>
        </w:rPr>
        <w:t>ICH, 2021。</w:t>
      </w:r>
      <w:r>
        <w:t xml:space="preserve"> </w:t>
      </w:r>
      <w:hyperlink r:id="rId5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Quality by design and critical-to-quality factors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48. [MED-015] ICH E9 Statistical Principles for Clinical Trials. </w:t>
      </w:r>
      <w:r>
        <w:rPr>
          <w:rFonts w:ascii="Aptos" w:hAnsi="Aptos" w:eastAsia="等线"/>
          <w:b w:val="0"/>
          <w:sz w:val="21"/>
        </w:rPr>
        <w:t>ICH, 1998。</w:t>
      </w:r>
      <w:r>
        <w:t xml:space="preserve"> </w:t>
      </w:r>
      <w:hyperlink r:id="rId5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Statistical constraints and analysis-plan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49. [MED-016] ICH E9(R1) Addendum on Estimands and Sensitivity Analysis. </w:t>
      </w:r>
      <w:r>
        <w:rPr>
          <w:rFonts w:ascii="Aptos" w:hAnsi="Aptos" w:eastAsia="等线"/>
          <w:b w:val="0"/>
          <w:sz w:val="21"/>
        </w:rPr>
        <w:t>ICH, 2019。</w:t>
      </w:r>
      <w:r>
        <w:t xml:space="preserve"> </w:t>
      </w:r>
      <w:hyperlink r:id="rId5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Endpoint estimand language and semantic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50. [MED-017] When and how can endpoints be changed after initiation of a randomized clinical trial. </w:t>
      </w:r>
      <w:r>
        <w:rPr>
          <w:rFonts w:ascii="Aptos" w:hAnsi="Aptos" w:eastAsia="等线"/>
          <w:b w:val="0"/>
          <w:sz w:val="21"/>
        </w:rPr>
        <w:t>PLoS Clinical Trials via PMC, 2007。</w:t>
      </w:r>
      <w:r>
        <w:t xml:space="preserve"> </w:t>
      </w:r>
      <w:hyperlink r:id="rId6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Endpoint change risk and downstream update reasoning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51. [MED-018] Common Clinical Trial Amendments why they are submitted and why they are not. </w:t>
      </w:r>
      <w:r>
        <w:rPr>
          <w:rFonts w:ascii="Aptos" w:hAnsi="Aptos" w:eastAsia="等线"/>
          <w:b w:val="0"/>
          <w:sz w:val="21"/>
        </w:rPr>
        <w:t>PMC, 2022。</w:t>
      </w:r>
      <w:r>
        <w:t xml:space="preserve"> </w:t>
      </w:r>
      <w:hyperlink r:id="rId6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amendment taxonomy and operational burden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52. [MED-019] The Impact of Protocol Amendments on Clinical Trial Performance and Cost. </w:t>
      </w:r>
      <w:r>
        <w:rPr>
          <w:rFonts w:ascii="Aptos" w:hAnsi="Aptos" w:eastAsia="等线"/>
          <w:b w:val="0"/>
          <w:sz w:val="21"/>
        </w:rPr>
        <w:t>PubMed, 2016。</w:t>
      </w:r>
      <w:r>
        <w:t xml:space="preserve"> </w:t>
      </w:r>
      <w:hyperlink r:id="rId6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Quantitative amendment cost and performance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53. [MED-020] The Impact of Protocol Amendments on Clinical Trial Performance and Cost. </w:t>
      </w:r>
      <w:r>
        <w:rPr>
          <w:rFonts w:ascii="Aptos" w:hAnsi="Aptos" w:eastAsia="等线"/>
          <w:b w:val="0"/>
          <w:sz w:val="21"/>
        </w:rPr>
        <w:t>SAGE Journals, 2016。</w:t>
      </w:r>
      <w:r>
        <w:t xml:space="preserve"> </w:t>
      </w:r>
      <w:hyperlink r:id="rId6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Publisher landing page for amendment cost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54. [MED-021] New Benchmarks on Protocol Amendment Practices Trends and their Impact on Clinical Trial Performance. </w:t>
      </w:r>
      <w:r>
        <w:rPr>
          <w:rFonts w:ascii="Aptos" w:hAnsi="Aptos" w:eastAsia="等线"/>
          <w:b w:val="0"/>
          <w:sz w:val="21"/>
        </w:rPr>
        <w:t>PubMed, 2024。</w:t>
      </w:r>
      <w:r>
        <w:t xml:space="preserve"> </w:t>
      </w:r>
      <w:hyperlink r:id="rId6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Updated amendment trend benchmark metadata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55. [MED-022] Development of a protocol complexity tool a framework designed to simplify clinical trials. </w:t>
      </w:r>
      <w:r>
        <w:rPr>
          <w:rFonts w:ascii="Aptos" w:hAnsi="Aptos" w:eastAsia="等线"/>
          <w:b w:val="0"/>
          <w:sz w:val="21"/>
        </w:rPr>
        <w:t>PMC, 2025。</w:t>
      </w:r>
      <w:r>
        <w:t xml:space="preserve"> </w:t>
      </w:r>
      <w:hyperlink r:id="rId6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complexity measurement and simplification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56. [MED-023] ICH Guidance Documents. </w:t>
      </w:r>
      <w:r>
        <w:rPr>
          <w:rFonts w:ascii="Aptos" w:hAnsi="Aptos" w:eastAsia="等线"/>
          <w:b w:val="0"/>
          <w:sz w:val="21"/>
        </w:rPr>
        <w:t>US FDA, 2026。</w:t>
      </w:r>
      <w:r>
        <w:t xml:space="preserve"> </w:t>
      </w:r>
      <w:hyperlink r:id="rId6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Official FDA index for ICH guidance cross-checking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57. [REG-001] FDA Informed Consent Guidance for IRBs, Clinical Investigators, and Sponsors. </w:t>
      </w:r>
      <w:r>
        <w:rPr>
          <w:rFonts w:ascii="Aptos" w:hAnsi="Aptos" w:eastAsia="等线"/>
          <w:b w:val="0"/>
          <w:sz w:val="21"/>
        </w:rPr>
        <w:t>US FDA, 2023。</w:t>
      </w:r>
      <w:r>
        <w:t xml:space="preserve"> </w:t>
      </w:r>
      <w:hyperlink r:id="rId6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rule constraints and participant-facing document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58. [REG-002] HHS OHRP Informed Consent Checklist. </w:t>
      </w:r>
      <w:r>
        <w:rPr>
          <w:rFonts w:ascii="Aptos" w:hAnsi="Aptos" w:eastAsia="等线"/>
          <w:b w:val="0"/>
          <w:sz w:val="21"/>
        </w:rPr>
        <w:t>HHS OHRP, 2026。</w:t>
      </w:r>
      <w:r>
        <w:t xml:space="preserve"> </w:t>
      </w:r>
      <w:hyperlink r:id="rId6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required elements checklist for ICF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59. [REG-003] FDA and HHS Use of Electronic Informed Consent in Clinical Investigations. </w:t>
      </w:r>
      <w:r>
        <w:rPr>
          <w:rFonts w:ascii="Aptos" w:hAnsi="Aptos" w:eastAsia="等线"/>
          <w:b w:val="0"/>
          <w:sz w:val="21"/>
        </w:rPr>
        <w:t>US FDA / HHS, 2016。</w:t>
      </w:r>
      <w:r>
        <w:t xml:space="preserve"> </w:t>
      </w:r>
      <w:hyperlink r:id="rId6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Digital consent and electronic record boundary for Feishu workflow story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60. [REG-004] ICH E17 General Principles for Planning and Design of Multi-Regional Clinical Trials. </w:t>
      </w:r>
      <w:r>
        <w:rPr>
          <w:rFonts w:ascii="Aptos" w:hAnsi="Aptos" w:eastAsia="等线"/>
          <w:b w:val="0"/>
          <w:sz w:val="21"/>
        </w:rPr>
        <w:t>ICH, 2017。</w:t>
      </w:r>
      <w:r>
        <w:t xml:space="preserve"> </w:t>
      </w:r>
      <w:hyperlink r:id="rId7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Global protocol design constraints and region-related design facts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61. [REG-005] EMA ICH E17 scientific guideline page. </w:t>
      </w:r>
      <w:r>
        <w:rPr>
          <w:rFonts w:ascii="Aptos" w:hAnsi="Aptos" w:eastAsia="等线"/>
          <w:b w:val="0"/>
          <w:sz w:val="21"/>
        </w:rPr>
        <w:t>EMA, 2026。</w:t>
      </w:r>
      <w:r>
        <w:t xml:space="preserve"> </w:t>
      </w:r>
      <w:hyperlink r:id="rId7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EMA context for ICH E17 and global submission acceptability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62. [REG-006] FDA E17 General Principles for Planning and Design of Multi-Regional Clinical Trials. </w:t>
      </w:r>
      <w:r>
        <w:rPr>
          <w:rFonts w:ascii="Aptos" w:hAnsi="Aptos" w:eastAsia="等线"/>
          <w:b w:val="0"/>
          <w:sz w:val="21"/>
        </w:rPr>
        <w:t>US FDA, 2018。</w:t>
      </w:r>
      <w:r>
        <w:t xml:space="preserve"> </w:t>
      </w:r>
      <w:hyperlink r:id="rId7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 adoption context for multi-region protocol constraints</w:t>
      </w:r>
    </w:p>
    <w:p>
      <w:pPr>
        <w:pStyle w:val="Heading1"/>
      </w:pPr>
      <w:r>
        <w:t>临床文件模板与关联文件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63. [ADOC-001] WHO informed consent form template for clinical studies. </w:t>
      </w:r>
      <w:r>
        <w:rPr>
          <w:rFonts w:ascii="Aptos" w:hAnsi="Aptos" w:eastAsia="等线"/>
          <w:b w:val="0"/>
          <w:sz w:val="21"/>
        </w:rPr>
        <w:t>WHO, 2026。</w:t>
      </w:r>
      <w:r>
        <w:t xml:space="preserve"> </w:t>
      </w:r>
      <w:hyperlink r:id="rId7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structure and informed consent document unit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64. [ADOC-002] NIH consent templates. </w:t>
      </w:r>
      <w:r>
        <w:rPr>
          <w:rFonts w:ascii="Aptos" w:hAnsi="Aptos" w:eastAsia="等线"/>
          <w:b w:val="0"/>
          <w:sz w:val="21"/>
        </w:rPr>
        <w:t>NIH OHSRP, 2026。</w:t>
      </w:r>
      <w:r>
        <w:t xml:space="preserve"> </w:t>
      </w:r>
      <w:hyperlink r:id="rId7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template source and consent section requirements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65. [ADOC-003] NIAID protocols and informed consent. </w:t>
      </w:r>
      <w:r>
        <w:rPr>
          <w:rFonts w:ascii="Aptos" w:hAnsi="Aptos" w:eastAsia="等线"/>
          <w:b w:val="0"/>
          <w:sz w:val="21"/>
        </w:rPr>
        <w:t>NIAID, 2025。</w:t>
      </w:r>
      <w:r>
        <w:t xml:space="preserve"> </w:t>
      </w:r>
      <w:hyperlink r:id="rId7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and ICF template references for document catalog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66. [ADOC-004] FDA informed consent template for individual patient expanded access. </w:t>
      </w:r>
      <w:r>
        <w:rPr>
          <w:rFonts w:ascii="Aptos" w:hAnsi="Aptos" w:eastAsia="等线"/>
          <w:b w:val="0"/>
          <w:sz w:val="21"/>
        </w:rPr>
        <w:t>US FDA, 2026。</w:t>
      </w:r>
      <w:r>
        <w:t xml:space="preserve"> </w:t>
      </w:r>
      <w:hyperlink r:id="rId7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language constraints and regulatory boundary examples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67. [ADOC-005] TransCelerate Common Statistical Analysis Plan template.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t xml:space="preserve"> </w:t>
      </w:r>
      <w:hyperlink r:id="rId7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structure and protocol-SAP dependency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68. [ADOC-008] EU-PEARL Statistical Analysis Plan template. </w:t>
      </w:r>
      <w:r>
        <w:rPr>
          <w:rFonts w:ascii="Aptos" w:hAnsi="Aptos" w:eastAsia="等线"/>
          <w:b w:val="0"/>
          <w:sz w:val="21"/>
        </w:rPr>
        <w:t>EU-PEARL, 2023。</w:t>
      </w:r>
      <w:r>
        <w:t xml:space="preserve"> </w:t>
      </w:r>
      <w:hyperlink r:id="rId7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section examples and analysis-plan fact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69. [ADOC-009] Duke Statistical Analysis Plan template. </w:t>
      </w:r>
      <w:r>
        <w:rPr>
          <w:rFonts w:ascii="Aptos" w:hAnsi="Aptos" w:eastAsia="等线"/>
          <w:b w:val="0"/>
          <w:sz w:val="21"/>
        </w:rPr>
        <w:t>Duke Biostatistics, 2020。</w:t>
      </w:r>
      <w:r>
        <w:t xml:space="preserve"> </w:t>
      </w:r>
      <w:hyperlink r:id="rId7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checklist and analysis plan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70. [ADOC-010] DAC Trials Statistical Analysis Plan template. </w:t>
      </w:r>
      <w:r>
        <w:rPr>
          <w:rFonts w:ascii="Aptos" w:hAnsi="Aptos" w:eastAsia="等线"/>
          <w:b w:val="0"/>
          <w:sz w:val="21"/>
        </w:rPr>
        <w:t>DAC Trials, 2026。</w:t>
      </w:r>
      <w:r>
        <w:t xml:space="preserve"> </w:t>
      </w:r>
      <w:hyperlink r:id="rId8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purpose and best-practice wording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71. [ADOC-011] A template for the authoring of statistical analysis plans. </w:t>
      </w:r>
      <w:r>
        <w:rPr>
          <w:rFonts w:ascii="Aptos" w:hAnsi="Aptos" w:eastAsia="等线"/>
          <w:b w:val="0"/>
          <w:sz w:val="21"/>
        </w:rPr>
        <w:t>Trials / PMC, 2023。</w:t>
      </w:r>
      <w:r>
        <w:t xml:space="preserve"> </w:t>
      </w:r>
      <w:hyperlink r:id="rId8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for structured SAP authoring and SAP checklist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72. [ADOC-013] ClinicalTrials.gov results data element definitions. </w:t>
      </w:r>
      <w:r>
        <w:rPr>
          <w:rFonts w:ascii="Aptos" w:hAnsi="Aptos" w:eastAsia="等线"/>
          <w:b w:val="0"/>
          <w:sz w:val="21"/>
        </w:rPr>
        <w:t>ClinicalTrials.gov, 2026。</w:t>
      </w:r>
      <w:r>
        <w:t xml:space="preserve"> </w:t>
      </w:r>
      <w:hyperlink r:id="rId8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Outcome result consistency and endpoint traceability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73. [ADOC-014] ClinicalTrials.gov glossary terms. </w:t>
      </w:r>
      <w:r>
        <w:rPr>
          <w:rFonts w:ascii="Aptos" w:hAnsi="Aptos" w:eastAsia="等线"/>
          <w:b w:val="0"/>
          <w:sz w:val="21"/>
        </w:rPr>
        <w:t>ClinicalTrials.gov, 2026。</w:t>
      </w:r>
      <w:r>
        <w:t xml:space="preserve"> </w:t>
      </w:r>
      <w:hyperlink r:id="rId8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Terminology normalization for registry/protocol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74. [ADOC-015] ICH E3 Structure and Content of Clinical Study Reports. </w:t>
      </w:r>
      <w:r>
        <w:rPr>
          <w:rFonts w:ascii="Aptos" w:hAnsi="Aptos" w:eastAsia="等线"/>
          <w:b w:val="0"/>
          <w:sz w:val="21"/>
        </w:rPr>
        <w:t>ICH, 1995。</w:t>
      </w:r>
      <w:r>
        <w:t xml:space="preserve"> </w:t>
      </w:r>
      <w:hyperlink r:id="rId8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CSR document units and protocol-to-CSR traceability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75. [ADOC-016] NIH-FDA Phase 2 and 3 IND IDE Clinical Trial Protocol Template annotated by MRCT. </w:t>
      </w:r>
      <w:r>
        <w:rPr>
          <w:rFonts w:ascii="Aptos" w:hAnsi="Aptos" w:eastAsia="等线"/>
          <w:b w:val="0"/>
          <w:sz w:val="21"/>
        </w:rPr>
        <w:t>MRCT Center / NIH / FDA, 2022。</w:t>
      </w:r>
      <w:r>
        <w:t xml:space="preserve"> </w:t>
      </w:r>
      <w:hyperlink r:id="rId8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section catalog and schedule/endpoint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76. [ADOC-017] NIA informed consent document template and guidelines. </w:t>
      </w:r>
      <w:r>
        <w:rPr>
          <w:rFonts w:ascii="Aptos" w:hAnsi="Aptos" w:eastAsia="等线"/>
          <w:b w:val="0"/>
          <w:sz w:val="21"/>
        </w:rPr>
        <w:t>National Institute on Aging, 2022。</w:t>
      </w:r>
      <w:r>
        <w:t xml:space="preserve"> </w:t>
      </w:r>
      <w:hyperlink r:id="rId8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Informed consent section requirements and wording patterns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77. [ADOC-018] NYU standard consent template for clinical trials and biomedical research. </w:t>
      </w:r>
      <w:r>
        <w:rPr>
          <w:rFonts w:ascii="Aptos" w:hAnsi="Aptos" w:eastAsia="等线"/>
          <w:b w:val="0"/>
          <w:sz w:val="21"/>
        </w:rPr>
        <w:t>NYU Langone Health, 2018。</w:t>
      </w:r>
      <w:r>
        <w:t xml:space="preserve"> </w:t>
      </w:r>
      <w:hyperlink r:id="rId8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document unit examples and risk/benefit wording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78. [ADOC-019] ClinicalTrials.gov reporting basic results article. </w:t>
      </w:r>
      <w:r>
        <w:rPr>
          <w:rFonts w:ascii="Aptos" w:hAnsi="Aptos" w:eastAsia="等线"/>
          <w:b w:val="0"/>
          <w:sz w:val="21"/>
        </w:rPr>
        <w:t>PMC, 2010。</w:t>
      </w:r>
      <w:r>
        <w:t xml:space="preserve"> </w:t>
      </w:r>
      <w:hyperlink r:id="rId8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Registry results reporting background and outcome data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79. [ADOC-020] University of Buffalo ClinicalTrials.gov registration and results guide. </w:t>
      </w:r>
      <w:r>
        <w:rPr>
          <w:rFonts w:ascii="Aptos" w:hAnsi="Aptos" w:eastAsia="等线"/>
          <w:b w:val="0"/>
          <w:sz w:val="21"/>
        </w:rPr>
        <w:t>University at Buffalo CTSI, 2024。</w:t>
      </w:r>
      <w:r>
        <w:t xml:space="preserve"> </w:t>
      </w:r>
      <w:hyperlink r:id="rId8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Registry required-field workflow and completion date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80. [ADOC-021] ClinicalTrials.gov Protocol and SAP Upload and Redaction Guidance. </w:t>
      </w:r>
      <w:r>
        <w:rPr>
          <w:rFonts w:ascii="Aptos" w:hAnsi="Aptos" w:eastAsia="等线"/>
          <w:b w:val="0"/>
          <w:sz w:val="21"/>
        </w:rPr>
        <w:t>Weill Cornell Medicine, 2019。</w:t>
      </w:r>
      <w:r>
        <w:t xml:space="preserve"> </w:t>
      </w:r>
      <w:hyperlink r:id="rId9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Protocol/SAP disclosure and redaction workflow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81. [ADOC-022] ISCB Clinical Trial Protocol Template. </w:t>
      </w:r>
      <w:r>
        <w:rPr>
          <w:rFonts w:ascii="Aptos" w:hAnsi="Aptos" w:eastAsia="等线"/>
          <w:b w:val="0"/>
          <w:sz w:val="21"/>
        </w:rPr>
        <w:t>International Society for Clinical Biostatistics, 2016。</w:t>
      </w:r>
      <w:r>
        <w:t xml:space="preserve"> </w:t>
      </w:r>
      <w:hyperlink r:id="rId9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Additional public protocol template for unit catalog validation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82. [ADOC-023] NIA Informed Consent Checklist. </w:t>
      </w:r>
      <w:r>
        <w:rPr>
          <w:rFonts w:ascii="Aptos" w:hAnsi="Aptos" w:eastAsia="等线"/>
          <w:b w:val="0"/>
          <w:sz w:val="21"/>
        </w:rPr>
        <w:t>National Institute on Aging, 2008。</w:t>
      </w:r>
      <w:r>
        <w:t xml:space="preserve"> </w:t>
      </w:r>
      <w:hyperlink r:id="rId9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element checklist for deterministic consent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83. [ADOC-024] ClinicalTrials.gov sample informed consent document. </w:t>
      </w:r>
      <w:r>
        <w:rPr>
          <w:rFonts w:ascii="Aptos" w:hAnsi="Aptos" w:eastAsia="等线"/>
          <w:b w:val="0"/>
          <w:sz w:val="21"/>
        </w:rPr>
        <w:t>ClinicalTrials.gov, 2017。</w:t>
      </w:r>
      <w:r>
        <w:t xml:space="preserve"> </w:t>
      </w:r>
      <w:hyperlink r:id="rId9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example of ICF structure and participant-facing phrasing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84. [M4-01] CTIMPs Protocol Development Tool. </w:t>
      </w:r>
      <w:r>
        <w:rPr>
          <w:rFonts w:ascii="Aptos" w:hAnsi="Aptos" w:eastAsia="等线"/>
          <w:b w:val="0"/>
          <w:sz w:val="21"/>
        </w:rPr>
        <w:t>UK Health Research Authority, 2026。</w:t>
      </w:r>
      <w:r>
        <w:t xml:space="preserve"> </w:t>
      </w:r>
      <w:hyperlink r:id="rId9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药物临床试验方案编写模板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85. [M4-02] Model Consent Template when NIH is the Lead Site. </w:t>
      </w:r>
      <w:r>
        <w:rPr>
          <w:rFonts w:ascii="Aptos" w:hAnsi="Aptos" w:eastAsia="等线"/>
          <w:b w:val="0"/>
          <w:sz w:val="21"/>
        </w:rPr>
        <w:t>NIH IRBO, 2026。</w:t>
      </w:r>
      <w:r>
        <w:t xml:space="preserve"> </w:t>
      </w:r>
      <w:hyperlink r:id="rId9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多中心研究知情同意书框架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86. [M4-03] NIMH Documentation of Informed Consent Template. </w:t>
      </w:r>
      <w:r>
        <w:rPr>
          <w:rFonts w:ascii="Aptos" w:hAnsi="Aptos" w:eastAsia="等线"/>
          <w:b w:val="0"/>
          <w:sz w:val="21"/>
        </w:rPr>
        <w:t>NIH/NIMH, 当前官网。</w:t>
      </w:r>
      <w:r>
        <w:t xml:space="preserve"> </w:t>
      </w:r>
      <w:hyperlink r:id="rId9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知情同意过程记录模板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87. [M4-04] Statistical Analysis Plan Policy. </w:t>
      </w:r>
      <w:r>
        <w:rPr>
          <w:rFonts w:ascii="Aptos" w:hAnsi="Aptos" w:eastAsia="等线"/>
          <w:b w:val="0"/>
          <w:sz w:val="21"/>
        </w:rPr>
        <w:t>NIH/NIAID, 当前官网。</w:t>
      </w:r>
      <w:r>
        <w:t xml:space="preserve"> </w:t>
      </w:r>
      <w:hyperlink r:id="rId9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SAP起草、定稿和变更管理要求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88. [M4-05] Qualitative Protocol Development Tool. </w:t>
      </w:r>
      <w:r>
        <w:rPr>
          <w:rFonts w:ascii="Aptos" w:hAnsi="Aptos" w:eastAsia="等线"/>
          <w:b w:val="0"/>
          <w:sz w:val="21"/>
        </w:rPr>
        <w:t>UK Health Research Authority, 当前官网。</w:t>
      </w:r>
      <w:r>
        <w:t xml:space="preserve"> </w:t>
      </w:r>
      <w:hyperlink r:id="rId9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定性研究方案编写框架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89. [MED-002] ICH M11 Clinical electronic Structured Harmonised Protocol CeSHarP final template. </w:t>
      </w:r>
      <w:r>
        <w:rPr>
          <w:rFonts w:ascii="Aptos" w:hAnsi="Aptos" w:eastAsia="等线"/>
          <w:b w:val="0"/>
          <w:sz w:val="21"/>
        </w:rPr>
        <w:t>ICH, 2025。</w:t>
      </w:r>
      <w:r>
        <w:t xml:space="preserve"> </w:t>
      </w:r>
      <w:hyperlink r:id="rId9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protocol section structure and document unit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90. [MED-012] Clinical Trial Protocol Template. </w:t>
      </w:r>
      <w:r>
        <w:rPr>
          <w:rFonts w:ascii="Aptos" w:hAnsi="Aptos" w:eastAsia="等线"/>
          <w:b w:val="0"/>
          <w:sz w:val="21"/>
        </w:rPr>
        <w:t>NIH-FDA, 2021。</w:t>
      </w:r>
      <w:r>
        <w:t xml:space="preserve"> </w:t>
      </w:r>
      <w:hyperlink r:id="rId10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clinical trial protocol template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91. [SOA-001] SPIRIT schedule of enrolment, interventions, and assessments template. </w:t>
      </w:r>
      <w:r>
        <w:rPr>
          <w:rFonts w:ascii="Aptos" w:hAnsi="Aptos" w:eastAsia="等线"/>
          <w:b w:val="0"/>
          <w:sz w:val="21"/>
        </w:rPr>
        <w:t>SPIRIT Statement, 2013。</w:t>
      </w:r>
      <w:r>
        <w:t xml:space="preserve"> </w:t>
      </w:r>
      <w:hyperlink r:id="rId10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Canonical schedule of enrolment/interventions/assessments table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92. [SOA-002] CONSORT-SPIRIT participant timeline explanation. </w:t>
      </w:r>
      <w:r>
        <w:rPr>
          <w:rFonts w:ascii="Aptos" w:hAnsi="Aptos" w:eastAsia="等线"/>
          <w:b w:val="0"/>
          <w:sz w:val="21"/>
        </w:rPr>
        <w:t>CONSORT-SPIRIT, 2026。</w:t>
      </w:r>
      <w:r>
        <w:t xml:space="preserve"> </w:t>
      </w:r>
      <w:hyperlink r:id="rId10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Rationale for participant timeline, visit schedule and burden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93. [SOA-003] BU Schedule of Events tool. </w:t>
      </w:r>
      <w:r>
        <w:rPr>
          <w:rFonts w:ascii="Aptos" w:hAnsi="Aptos" w:eastAsia="等线"/>
          <w:b w:val="0"/>
          <w:sz w:val="21"/>
        </w:rPr>
        <w:t>Boston University Medical Campus, 2023。</w:t>
      </w:r>
      <w:r>
        <w:t xml:space="preserve"> </w:t>
      </w:r>
      <w:hyperlink r:id="rId10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Schedule-of-events table template for protocol and manual of procedures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94. [SOA-004] Allina Health instructions for the Schedule of Events. </w:t>
      </w:r>
      <w:r>
        <w:rPr>
          <w:rFonts w:ascii="Aptos" w:hAnsi="Aptos" w:eastAsia="等线"/>
          <w:b w:val="0"/>
          <w:sz w:val="21"/>
        </w:rPr>
        <w:t>Allina Health, 2026。</w:t>
      </w:r>
      <w:r>
        <w:t xml:space="preserve"> </w:t>
      </w:r>
      <w:hyperlink r:id="rId10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Practical schedule-of-events instructions and protocol care-plan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95. [SOA-005] UAB simplified clinical trial protocol template. </w:t>
      </w:r>
      <w:r>
        <w:rPr>
          <w:rFonts w:ascii="Aptos" w:hAnsi="Aptos" w:eastAsia="等线"/>
          <w:b w:val="0"/>
          <w:sz w:val="21"/>
        </w:rPr>
        <w:t>University of Alabama at Birmingham, 2026。</w:t>
      </w:r>
      <w:r>
        <w:t xml:space="preserve"> </w:t>
      </w:r>
      <w:hyperlink r:id="rId10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template containing Schedule of Activities section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96. [SOA-006] UAB all clinical trial templates and tools. </w:t>
      </w:r>
      <w:r>
        <w:rPr>
          <w:rFonts w:ascii="Aptos" w:hAnsi="Aptos" w:eastAsia="等线"/>
          <w:b w:val="0"/>
          <w:sz w:val="21"/>
        </w:rPr>
        <w:t>University of Alabama at Birmingham, 2026。</w:t>
      </w:r>
      <w:r>
        <w:t xml:space="preserve"> </w:t>
      </w:r>
      <w:hyperlink r:id="rId10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Protocol-driven source document and schedule-of-activities workflow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97. [SOA-007] Automated protocol templates with efficient schedule of activities. </w:t>
      </w:r>
      <w:r>
        <w:rPr>
          <w:rFonts w:ascii="Aptos" w:hAnsi="Aptos" w:eastAsia="等线"/>
          <w:b w:val="0"/>
          <w:sz w:val="21"/>
        </w:rPr>
        <w:t>PMC, 2025。</w:t>
      </w:r>
      <w:r>
        <w:t xml:space="preserve"> </w:t>
      </w:r>
      <w:hyperlink r:id="rId10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Method evidence for automated protocol templates and SoA generation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98. [SOA-008] SPIRIT 2025 statement updated guideline for protocols. </w:t>
      </w:r>
      <w:r>
        <w:rPr>
          <w:rFonts w:ascii="Aptos" w:hAnsi="Aptos" w:eastAsia="等线"/>
          <w:b w:val="0"/>
          <w:sz w:val="21"/>
        </w:rPr>
        <w:t>PMC, 2025。</w:t>
      </w:r>
      <w:r>
        <w:t xml:space="preserve"> </w:t>
      </w:r>
      <w:hyperlink r:id="rId10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Updated SPIRIT checklist and participant timeline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99. [SOA-009] ClinicalTrials.gov public protocol with schedule of activities. </w:t>
      </w:r>
      <w:r>
        <w:rPr>
          <w:rFonts w:ascii="Aptos" w:hAnsi="Aptos" w:eastAsia="等线"/>
          <w:b w:val="0"/>
          <w:sz w:val="21"/>
        </w:rPr>
        <w:t>ClinicalTrials.gov, 2019。</w:t>
      </w:r>
      <w:r>
        <w:t xml:space="preserve"> </w:t>
      </w:r>
      <w:hyperlink r:id="rId10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example of protocol and SAP containing SoA section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100. [SOA-010] SPIRIT-PRO protocol template. </w:t>
      </w:r>
      <w:r>
        <w:rPr>
          <w:rFonts w:ascii="Aptos" w:hAnsi="Aptos" w:eastAsia="等线"/>
          <w:b w:val="0"/>
          <w:sz w:val="21"/>
        </w:rPr>
        <w:t>The PROTEUS Consortium, 2023。</w:t>
      </w:r>
      <w:r>
        <w:t xml:space="preserve"> </w:t>
      </w:r>
      <w:hyperlink r:id="rId11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 assessment schedule and time-window requirements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101. [STD-001] Clinical Content and Reuse Assets Clinical Studies.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t xml:space="preserve"> </w:t>
      </w:r>
      <w:hyperlink r:id="rId11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Common Protocol Template SAP and CSR template ecosystem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102. [STD-009] Protocol Templates for Clinical Trials. </w:t>
      </w:r>
      <w:r>
        <w:rPr>
          <w:rFonts w:ascii="Aptos" w:hAnsi="Aptos" w:eastAsia="等线"/>
          <w:b w:val="0"/>
          <w:sz w:val="21"/>
        </w:rPr>
        <w:t>NIH, 2024。</w:t>
      </w:r>
      <w:r>
        <w:t xml:space="preserve"> </w:t>
      </w:r>
      <w:hyperlink r:id="rId11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NIH page for clinical trial protocol templates and e-protocol tool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103. [STD-010] Protocol Templates. </w:t>
      </w:r>
      <w:r>
        <w:rPr>
          <w:rFonts w:ascii="Aptos" w:hAnsi="Aptos" w:eastAsia="等线"/>
          <w:b w:val="0"/>
          <w:sz w:val="21"/>
        </w:rPr>
        <w:t>University of Wisconsin IRB, 2026。</w:t>
      </w:r>
      <w:r>
        <w:t xml:space="preserve"> </w:t>
      </w:r>
      <w:hyperlink r:id="rId11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list of protocol templates including NIH and NCI references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104. [STD-011] Diversity Inclusion and Equity Overlay for TransCelerate Common Protocol Template. </w:t>
      </w:r>
      <w:r>
        <w:rPr>
          <w:rFonts w:ascii="Aptos" w:hAnsi="Aptos" w:eastAsia="等线"/>
          <w:b w:val="0"/>
          <w:sz w:val="21"/>
        </w:rPr>
        <w:t>MRCT Center, 2022。</w:t>
      </w:r>
      <w:r>
        <w:t xml:space="preserve"> </w:t>
      </w:r>
      <w:hyperlink r:id="rId11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Shows how protocol templates can be extended by domain-specific overlays</w:t>
      </w:r>
    </w:p>
    <w:p>
      <w:pPr>
        <w:pStyle w:val="Heading1"/>
      </w:pPr>
      <w:r>
        <w:t>数据标准与结构化方案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105. [STAND-013] CDISC Digital Data Flow for Clinical Trial Protocols. </w:t>
      </w:r>
      <w:r>
        <w:rPr>
          <w:rFonts w:ascii="Aptos" w:hAnsi="Aptos" w:eastAsia="等线"/>
          <w:b w:val="0"/>
          <w:sz w:val="21"/>
        </w:rPr>
        <w:t>CDISC, 2026。</w:t>
      </w:r>
      <w:r>
        <w:t xml:space="preserve"> </w:t>
      </w:r>
      <w:hyperlink r:id="rId11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Standards evidence that clinical protocols are moving toward digital data flow and structured study definitions.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106. [STAND-014] CDISC USDM Onboarding Package. </w:t>
      </w:r>
      <w:r>
        <w:rPr>
          <w:rFonts w:ascii="Aptos" w:hAnsi="Aptos" w:eastAsia="等线"/>
          <w:b w:val="0"/>
          <w:sz w:val="21"/>
        </w:rPr>
        <w:t>CDISC, 2026。</w:t>
      </w:r>
      <w:r>
        <w:t xml:space="preserve"> </w:t>
      </w:r>
      <w:hyperlink r:id="rId11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USDM implementation support evidence for machine-readable study definition adoption.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107. [STAND-015] CDISC USDM GitHub Package. </w:t>
      </w:r>
      <w:r>
        <w:rPr>
          <w:rFonts w:ascii="Aptos" w:hAnsi="Aptos" w:eastAsia="等线"/>
          <w:b w:val="0"/>
          <w:sz w:val="21"/>
        </w:rPr>
        <w:t>CDISC, 2026。</w:t>
      </w:r>
      <w:r>
        <w:t xml:space="preserve"> </w:t>
      </w:r>
      <w:hyperlink r:id="rId11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Implementation reference for USDM deliverables and structured study definition models.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108. [STAND-016] TransCelerate Digital Data Flow Initiative.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t xml:space="preserve"> </w:t>
      </w:r>
      <w:hyperlink r:id="rId11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 evidence for moving from document-centric to data-centric clinical trial protocol digitalization.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109. [STD-002] Clinical Content and Reuse. </w:t>
      </w:r>
      <w:r>
        <w:rPr>
          <w:rFonts w:ascii="Aptos" w:hAnsi="Aptos" w:eastAsia="等线"/>
          <w:b w:val="0"/>
          <w:sz w:val="21"/>
        </w:rPr>
        <w:t>TransCelerate BioPharma, 2026。</w:t>
      </w:r>
      <w:r>
        <w:t xml:space="preserve"> </w:t>
      </w:r>
      <w:hyperlink r:id="rId11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Harmonized model content across protocol SAP and CSR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110. [STD-003] Common Protocol Template Now Available. </w:t>
      </w:r>
      <w:r>
        <w:rPr>
          <w:rFonts w:ascii="Aptos" w:hAnsi="Aptos" w:eastAsia="等线"/>
          <w:b w:val="0"/>
          <w:sz w:val="21"/>
        </w:rPr>
        <w:t>TransCelerate BioPharma, 2016。</w:t>
      </w:r>
      <w:r>
        <w:t xml:space="preserve"> </w:t>
      </w:r>
      <w:hyperlink r:id="rId12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History and availability of Common Protocol Template resources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111. [STD-004] CPT 101 An Introduction to the Common Protocol Template. </w:t>
      </w:r>
      <w:r>
        <w:rPr>
          <w:rFonts w:ascii="Aptos" w:hAnsi="Aptos" w:eastAsia="等线"/>
          <w:b w:val="0"/>
          <w:sz w:val="21"/>
        </w:rPr>
        <w:t>TransCelerate BioPharma, 2018。</w:t>
      </w:r>
      <w:r>
        <w:t xml:space="preserve"> </w:t>
      </w:r>
      <w:hyperlink r:id="rId12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Simple description of CPT as harmonized protocol format and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112. [STD-005] PRM Protocol Representation Model. </w:t>
      </w:r>
      <w:r>
        <w:rPr>
          <w:rFonts w:ascii="Aptos" w:hAnsi="Aptos" w:eastAsia="等线"/>
          <w:b w:val="0"/>
          <w:sz w:val="21"/>
        </w:rPr>
        <w:t>CDISC, 2026。</w:t>
      </w:r>
      <w:r>
        <w:t xml:space="preserve"> </w:t>
      </w:r>
      <w:hyperlink r:id="rId12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 for machine-readable protocol representation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113. [STD-006] CDISC PRM Toolset v1. </w:t>
      </w:r>
      <w:r>
        <w:rPr>
          <w:rFonts w:ascii="Aptos" w:hAnsi="Aptos" w:eastAsia="等线"/>
          <w:b w:val="0"/>
          <w:sz w:val="21"/>
        </w:rPr>
        <w:t>CDISC, 2026。</w:t>
      </w:r>
      <w:r>
        <w:t xml:space="preserve"> </w:t>
      </w:r>
      <w:hyperlink r:id="rId12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toolset for protocol representation model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114. [STD-007] Trial Master File Standard. </w:t>
      </w:r>
      <w:r>
        <w:rPr>
          <w:rFonts w:ascii="Aptos" w:hAnsi="Aptos" w:eastAsia="等线"/>
          <w:b w:val="0"/>
          <w:sz w:val="21"/>
        </w:rPr>
        <w:t>CDISC, 2026。</w:t>
      </w:r>
      <w:r>
        <w:t xml:space="preserve"> </w:t>
      </w:r>
      <w:hyperlink r:id="rId12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Standardized TMF structure and terminology for audit-ready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115. [STD-008] Trial Master File Reference Model. </w:t>
      </w:r>
      <w:r>
        <w:rPr>
          <w:rFonts w:ascii="Aptos" w:hAnsi="Aptos" w:eastAsia="等线"/>
          <w:b w:val="0"/>
          <w:sz w:val="21"/>
        </w:rPr>
        <w:t>CDISC, 2026。</w:t>
      </w:r>
      <w:r>
        <w:t xml:space="preserve"> </w:t>
      </w:r>
      <w:hyperlink r:id="rId12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TMF taxonomy and metadata source for document dependency and audit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116. [STD-012] Developing generic templates to shape the future for conducting platform trials. </w:t>
      </w:r>
      <w:r>
        <w:rPr>
          <w:rFonts w:ascii="Aptos" w:hAnsi="Aptos" w:eastAsia="等线"/>
          <w:b w:val="0"/>
          <w:sz w:val="21"/>
        </w:rPr>
        <w:t>PMC, 2024。</w:t>
      </w:r>
      <w:r>
        <w:t xml:space="preserve"> </w:t>
      </w:r>
      <w:hyperlink r:id="rId12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evidence for template standardization and platform-trial template design</w:t>
      </w:r>
    </w:p>
    <w:p>
      <w:pPr>
        <w:pStyle w:val="Heading1"/>
      </w:pPr>
      <w:r>
        <w:t>人工智能方法、不确定性、可解释性与治理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117. [AI-001] From RAGs to riches: Using large language models to write documents for clinical trials. </w:t>
      </w:r>
      <w:r>
        <w:rPr>
          <w:rFonts w:ascii="Aptos" w:hAnsi="Aptos" w:eastAsia="等线"/>
          <w:b w:val="0"/>
          <w:sz w:val="21"/>
        </w:rPr>
        <w:t>arXiv, 2024。</w:t>
      </w:r>
      <w:r>
        <w:t xml:space="preserve"> </w:t>
      </w:r>
      <w:hyperlink r:id="rId12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LLM and RAG baseline for clinical trial document authoring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118. [AI-002] Clinical Trials Protocol Authoring using LLMs. </w:t>
      </w:r>
      <w:r>
        <w:rPr>
          <w:rFonts w:ascii="Aptos" w:hAnsi="Aptos" w:eastAsia="等线"/>
          <w:b w:val="0"/>
          <w:sz w:val="21"/>
        </w:rPr>
        <w:t>arXiv, 2024。</w:t>
      </w:r>
      <w:r>
        <w:t xml:space="preserve"> </w:t>
      </w:r>
      <w:hyperlink r:id="rId12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authoring baseline and LLM workflow comparison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119. [AI-003] Large Language Models for Clinical Trial Protocol Assessments. </w:t>
      </w:r>
      <w:r>
        <w:rPr>
          <w:rFonts w:ascii="Aptos" w:hAnsi="Aptos" w:eastAsia="等线"/>
          <w:b w:val="0"/>
          <w:sz w:val="21"/>
        </w:rPr>
        <w:t>PMC, 2026。</w:t>
      </w:r>
      <w:r>
        <w:t xml:space="preserve"> </w:t>
      </w:r>
      <w:hyperlink r:id="rId12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that LLMs can assess SAP and protocol-related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120. [AI-004] Large language models in clinical trials: applications and challenges. </w:t>
      </w:r>
      <w:r>
        <w:rPr>
          <w:rFonts w:ascii="Aptos" w:hAnsi="Aptos" w:eastAsia="等线"/>
          <w:b w:val="0"/>
          <w:sz w:val="21"/>
        </w:rPr>
        <w:t>PMC, 2025。</w:t>
      </w:r>
      <w:r>
        <w:t xml:space="preserve"> </w:t>
      </w:r>
      <w:hyperlink r:id="rId13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Broad review of LLM applications and risk boundaries in clinical trials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121. [AI-005] Revolutionizing Clinical Trials with Intelligent Protocol Automation. </w:t>
      </w:r>
      <w:r>
        <w:rPr>
          <w:rFonts w:ascii="Aptos" w:hAnsi="Aptos" w:eastAsia="等线"/>
          <w:b w:val="0"/>
          <w:sz w:val="21"/>
        </w:rPr>
        <w:t>PHUSE / LexJansen, 2025。</w:t>
      </w:r>
      <w:r>
        <w:t xml:space="preserve"> </w:t>
      </w:r>
      <w:hyperlink r:id="rId13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Industry-style intelligent protocol automation reference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122. [AI-006] Using Large Language Models to Assess the Consistency of Randomized Controlled Trials on AI Interventions. </w:t>
      </w:r>
      <w:r>
        <w:rPr>
          <w:rFonts w:ascii="Aptos" w:hAnsi="Aptos" w:eastAsia="等线"/>
          <w:b w:val="0"/>
          <w:sz w:val="21"/>
        </w:rPr>
        <w:t>JMIR, 2025。</w:t>
      </w:r>
      <w:r>
        <w:t xml:space="preserve"> </w:t>
      </w:r>
      <w:hyperlink r:id="rId13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Method reference for LLM-based consistency assessment and deterministic API evaluation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123. [AI-007] AI-Driven Protocol Authoring Accelerates Phase III Clinical Trials. </w:t>
      </w:r>
      <w:r>
        <w:rPr>
          <w:rFonts w:ascii="Aptos" w:hAnsi="Aptos" w:eastAsia="等线"/>
          <w:b w:val="0"/>
          <w:sz w:val="21"/>
        </w:rPr>
        <w:t>AlphaLifeSci, 2025。</w:t>
      </w:r>
      <w:r>
        <w:t xml:space="preserve"> </w:t>
      </w:r>
      <w:hyperlink r:id="rId13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narrative for cross-section consistency and structured protocol authoring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124. [GOV-001] Reflection paper on the use of artificial intelligence in the medicinal product lifecycle. </w:t>
      </w:r>
      <w:r>
        <w:rPr>
          <w:rFonts w:ascii="Aptos" w:hAnsi="Aptos" w:eastAsia="等线"/>
          <w:b w:val="0"/>
          <w:sz w:val="21"/>
        </w:rPr>
        <w:t>European Medicines Agency, 2024。</w:t>
      </w:r>
      <w:r>
        <w:t xml:space="preserve"> </w:t>
      </w:r>
      <w:hyperlink r:id="rId13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governance and human oversight for medicinal product lifecycle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125. [GOV-002] Considerations for the Use of Artificial Intelligence to Support Regulatory Decision-Making for Drug and Biological Products. </w:t>
      </w:r>
      <w:r>
        <w:rPr>
          <w:rFonts w:ascii="Aptos" w:hAnsi="Aptos" w:eastAsia="等线"/>
          <w:b w:val="0"/>
          <w:sz w:val="21"/>
        </w:rPr>
        <w:t>US FDA, 2025。</w:t>
      </w:r>
      <w:r>
        <w:t xml:space="preserve"> </w:t>
      </w:r>
      <w:hyperlink r:id="rId13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credibility and regulatory decision-support risk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126. [GOV-003] Ethics and governance of artificial intelligence for health. </w:t>
      </w:r>
      <w:r>
        <w:rPr>
          <w:rFonts w:ascii="Aptos" w:hAnsi="Aptos" w:eastAsia="等线"/>
          <w:b w:val="0"/>
          <w:sz w:val="21"/>
        </w:rPr>
        <w:t>World Health Organization, 2021。</w:t>
      </w:r>
      <w:r>
        <w:t xml:space="preserve"> </w:t>
      </w:r>
      <w:hyperlink r:id="rId13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Health AI ethics privacy accountability and human oversight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127. [GOV-005] Good Machine Learning Practice for Medical Device Development Guiding Principles. </w:t>
      </w:r>
      <w:r>
        <w:rPr>
          <w:rFonts w:ascii="Aptos" w:hAnsi="Aptos" w:eastAsia="等线"/>
          <w:b w:val="0"/>
          <w:sz w:val="21"/>
        </w:rPr>
        <w:t>FDA Health Canada MHRA, 2021。</w:t>
      </w:r>
      <w:r>
        <w:t xml:space="preserve"> </w:t>
      </w:r>
      <w:hyperlink r:id="rId13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lifecycle and quality principles as analogy not direct drug-document rule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128. [M3-01] Ethics and Governance of Artificial Intelligence for Health. </w:t>
      </w:r>
      <w:r>
        <w:rPr>
          <w:rFonts w:ascii="Aptos" w:hAnsi="Aptos" w:eastAsia="等线"/>
          <w:b w:val="0"/>
          <w:sz w:val="21"/>
        </w:rPr>
        <w:t>WHO, 2021。</w:t>
      </w:r>
      <w:r>
        <w:t xml:space="preserve"> </w:t>
      </w:r>
      <w:hyperlink r:id="rId13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AI健康应用的伦理原则和治理框架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129. [M3-02] Ethics and Governance of AI for Health: Guidance on Large Multi-Modal Models. </w:t>
      </w:r>
      <w:r>
        <w:rPr>
          <w:rFonts w:ascii="Aptos" w:hAnsi="Aptos" w:eastAsia="等线"/>
          <w:b w:val="0"/>
          <w:sz w:val="21"/>
        </w:rPr>
        <w:t>WHO, 2024。</w:t>
      </w:r>
      <w:r>
        <w:t xml:space="preserve"> </w:t>
      </w:r>
      <w:hyperlink r:id="rId13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大模型在医疗和研究中的风险、责任和监管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130. [M3-04] New Benchmarks on Protocol Amendment Practices, Trends and their Impact. </w:t>
      </w:r>
      <w:r>
        <w:rPr>
          <w:rFonts w:ascii="Aptos" w:hAnsi="Aptos" w:eastAsia="等线"/>
          <w:b w:val="0"/>
          <w:sz w:val="21"/>
        </w:rPr>
        <w:t>Tufts CSDD, 2024。</w:t>
      </w:r>
      <w:r>
        <w:t xml:space="preserve"> </w:t>
      </w:r>
      <w:hyperlink r:id="rId14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协议变更发生率、数量、周期和运营影响基准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131. [M3-05] 临床试验期间方案变更技术指导原则（试行）. </w:t>
      </w:r>
      <w:r>
        <w:rPr>
          <w:rFonts w:ascii="Aptos" w:hAnsi="Aptos" w:eastAsia="等线"/>
          <w:b w:val="0"/>
          <w:sz w:val="21"/>
        </w:rPr>
        <w:t>国家药监局药审中心, 2022。</w:t>
      </w:r>
      <w:r>
        <w:t xml:space="preserve"> </w:t>
      </w:r>
      <w:hyperlink r:id="rId14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中国方案变更分类、评估与沟通要求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132. [M3-06] Considerations for AI to Support Regulatory Decision-Making for Drug and Biological Products. </w:t>
      </w:r>
      <w:r>
        <w:rPr>
          <w:rFonts w:ascii="Aptos" w:hAnsi="Aptos" w:eastAsia="等线"/>
          <w:b w:val="0"/>
          <w:sz w:val="21"/>
        </w:rPr>
        <w:t>FDA, 2025。</w:t>
      </w:r>
      <w:r>
        <w:t xml:space="preserve"> </w:t>
      </w:r>
      <w:hyperlink r:id="rId14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AI模型可信性评估、使用情境和风险分级</w:t>
      </w:r>
    </w:p>
    <w:p>
      <w:pPr>
        <w:pStyle w:val="Heading1"/>
      </w:pPr>
      <w:r>
        <w:t>行业产品、竞品与价值证据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133. [BUR-001] Multidisciplinary Approach to Protocol Writing. </w:t>
      </w:r>
      <w:r>
        <w:rPr>
          <w:rFonts w:ascii="Aptos" w:hAnsi="Aptos" w:eastAsia="等线"/>
          <w:b w:val="0"/>
          <w:sz w:val="21"/>
        </w:rPr>
        <w:t>Applied Clinical Trials, 2026。</w:t>
      </w:r>
      <w:r>
        <w:t xml:space="preserve"> </w:t>
      </w:r>
      <w:hyperlink r:id="rId14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statement on protocol-writing process and approximate writing duration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134. [BUR-002] Controlling complexity for regulator-ready protocol. </w:t>
      </w:r>
      <w:r>
        <w:rPr>
          <w:rFonts w:ascii="Aptos" w:hAnsi="Aptos" w:eastAsia="等线"/>
          <w:b w:val="0"/>
          <w:sz w:val="21"/>
        </w:rPr>
        <w:t>ICON plc, 2025。</w:t>
      </w:r>
      <w:r>
        <w:t xml:space="preserve"> </w:t>
      </w:r>
      <w:hyperlink r:id="rId14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complexity and amendment cost narrative with Tufts CSDD references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135. [BUR-003] Shining a Light on the Inefficiencies in Amendment Implementation. </w:t>
      </w:r>
      <w:r>
        <w:rPr>
          <w:rFonts w:ascii="Aptos" w:hAnsi="Aptos" w:eastAsia="等线"/>
          <w:b w:val="0"/>
          <w:sz w:val="21"/>
        </w:rPr>
        <w:t>Applied Clinical Trials, 2026。</w:t>
      </w:r>
      <w:r>
        <w:t xml:space="preserve"> </w:t>
      </w:r>
      <w:hyperlink r:id="rId14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Amendment implementation delays and cross-functional burden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136. [BUR-004] Cost of Protocol Amendments How Changes Penalize Learning in Phase 1. </w:t>
      </w:r>
      <w:r>
        <w:rPr>
          <w:rFonts w:ascii="Aptos" w:hAnsi="Aptos" w:eastAsia="等线"/>
          <w:b w:val="0"/>
          <w:sz w:val="21"/>
        </w:rPr>
        <w:t>Prelude EDC, 2026。</w:t>
      </w:r>
      <w:r>
        <w:t xml:space="preserve"> </w:t>
      </w:r>
      <w:hyperlink r:id="rId14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amendment frequency and delay claims citing Tufts and Getz work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137. [BUR-005] What Structured Content Means for Medical Writers. </w:t>
      </w:r>
      <w:r>
        <w:rPr>
          <w:rFonts w:ascii="Aptos" w:hAnsi="Aptos" w:eastAsia="等线"/>
          <w:b w:val="0"/>
          <w:sz w:val="21"/>
        </w:rPr>
        <w:t>Docuvera, 2025。</w:t>
      </w:r>
      <w:r>
        <w:t xml:space="preserve"> </w:t>
      </w:r>
      <w:hyperlink r:id="rId14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content components metadata and reuse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138. [BUR-006] Structured Content Authoring in Pharma. </w:t>
      </w:r>
      <w:r>
        <w:rPr>
          <w:rFonts w:ascii="Aptos" w:hAnsi="Aptos" w:eastAsia="等线"/>
          <w:b w:val="0"/>
          <w:sz w:val="21"/>
        </w:rPr>
        <w:t>Echo360, 2026。</w:t>
      </w:r>
      <w:r>
        <w:t xml:space="preserve"> </w:t>
      </w:r>
      <w:hyperlink r:id="rId14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authoring compliance templates controlled vocabulary and workflow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139. [BUR-007] AI and medical writing Unlocking value for life sciences. </w:t>
      </w:r>
      <w:r>
        <w:rPr>
          <w:rFonts w:ascii="Aptos" w:hAnsi="Aptos" w:eastAsia="等线"/>
          <w:b w:val="0"/>
          <w:sz w:val="21"/>
        </w:rPr>
        <w:t>Deloitte, 2026。</w:t>
      </w:r>
      <w:r>
        <w:t xml:space="preserve"> </w:t>
      </w:r>
      <w:hyperlink r:id="rId14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 view that GenAI and structured content authoring may become content intelligence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140. [BUR-008] AI Medical Writing Software Protocol and CSR Automation. </w:t>
      </w:r>
      <w:r>
        <w:rPr>
          <w:rFonts w:ascii="Aptos" w:hAnsi="Aptos" w:eastAsia="等线"/>
          <w:b w:val="0"/>
          <w:sz w:val="21"/>
        </w:rPr>
        <w:t>AlphaLifeSci, 2026。</w:t>
      </w:r>
      <w:r>
        <w:t xml:space="preserve"> </w:t>
      </w:r>
      <w:hyperlink r:id="rId15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claim around source-grounded protocol/SAP/TFL reuse and QC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141. [BUR-009] Protocol Writing in Clinical Research. </w:t>
      </w:r>
      <w:r>
        <w:rPr>
          <w:rFonts w:ascii="Aptos" w:hAnsi="Aptos" w:eastAsia="等线"/>
          <w:b w:val="0"/>
          <w:sz w:val="21"/>
        </w:rPr>
        <w:t>PMC, 2016。</w:t>
      </w:r>
      <w:r>
        <w:t xml:space="preserve"> </w:t>
      </w:r>
      <w:hyperlink r:id="rId15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Open educational article on protocol writing requirements and standard steps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142. [BUR-010] Clinical Trial Protocol Development Services. </w:t>
      </w:r>
      <w:r>
        <w:rPr>
          <w:rFonts w:ascii="Aptos" w:hAnsi="Aptos" w:eastAsia="等线"/>
          <w:b w:val="0"/>
          <w:sz w:val="21"/>
        </w:rPr>
        <w:t>Quanticate, 2026。</w:t>
      </w:r>
      <w:r>
        <w:t xml:space="preserve"> </w:t>
      </w:r>
      <w:hyperlink r:id="rId15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CRO description of protocol synopsis and full protocol development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143. [BURDEN-011] Impact of Protocol Amendments, Personnel Experience and Social Support on Clinical Trial Site Performance. </w:t>
      </w:r>
      <w:r>
        <w:rPr>
          <w:rFonts w:ascii="Aptos" w:hAnsi="Aptos" w:eastAsia="等线"/>
          <w:b w:val="0"/>
          <w:sz w:val="21"/>
        </w:rPr>
        <w:t>PMC, 2025。</w:t>
      </w:r>
      <w:r>
        <w:t xml:space="preserve"> </w:t>
      </w:r>
      <w:hyperlink r:id="rId15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for amendment, complexity and operational performance burden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144. [BURDEN-012] Assessing Protocol Complexity and its Impact on Trial Outcomes. </w:t>
      </w:r>
      <w:r>
        <w:rPr>
          <w:rFonts w:ascii="Aptos" w:hAnsi="Aptos" w:eastAsia="等线"/>
          <w:b w:val="0"/>
          <w:sz w:val="21"/>
        </w:rPr>
        <w:t>IQVIA, 2026。</w:t>
      </w:r>
      <w:r>
        <w:t xml:space="preserve"> </w:t>
      </w:r>
      <w:hyperlink r:id="rId15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Recent industry framing of protocol complexity, burden and amendments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145. [BURDEN-013] The Amendment Trap: why clinical trials face costly protocol changes. </w:t>
      </w:r>
      <w:r>
        <w:rPr>
          <w:rFonts w:ascii="Aptos" w:hAnsi="Aptos" w:eastAsia="等线"/>
          <w:b w:val="0"/>
          <w:sz w:val="21"/>
        </w:rPr>
        <w:t>Precision for Medicine, 2025。</w:t>
      </w:r>
      <w:r>
        <w:t xml:space="preserve"> </w:t>
      </w:r>
      <w:hyperlink r:id="rId15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Amendment cost narrative and risk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146. [BURDEN-015] The Rising Complexity of Study Design. </w:t>
      </w:r>
      <w:r>
        <w:rPr>
          <w:rFonts w:ascii="Aptos" w:hAnsi="Aptos" w:eastAsia="等线"/>
          <w:b w:val="0"/>
          <w:sz w:val="21"/>
        </w:rPr>
        <w:t>CRIO, 2025。</w:t>
      </w:r>
      <w:r>
        <w:t xml:space="preserve"> </w:t>
      </w:r>
      <w:hyperlink r:id="rId15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Study complexity and deviation/rework narrative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147. [BUS-001] Veeva Clinical Operations. </w:t>
      </w:r>
      <w:r>
        <w:rPr>
          <w:rFonts w:ascii="Aptos" w:hAnsi="Aptos" w:eastAsia="等线"/>
          <w:b w:val="0"/>
          <w:sz w:val="21"/>
        </w:rPr>
        <w:t>Veeva Systems, 2026。</w:t>
      </w:r>
      <w:r>
        <w:t xml:space="preserve"> </w:t>
      </w:r>
      <w:hyperlink r:id="rId15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Unified clinical operations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148. [BUS-002] Veeva Clinical Platform. </w:t>
      </w:r>
      <w:r>
        <w:rPr>
          <w:rFonts w:ascii="Aptos" w:hAnsi="Aptos" w:eastAsia="等线"/>
          <w:b w:val="0"/>
          <w:sz w:val="21"/>
        </w:rPr>
        <w:t>Veeva Systems, 2026。</w:t>
      </w:r>
      <w:r>
        <w:t xml:space="preserve"> </w:t>
      </w:r>
      <w:hyperlink r:id="rId15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Platform-level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149. [BUS-003] Veeva Disclosures Creating Registrations and Protocols. </w:t>
      </w:r>
      <w:r>
        <w:rPr>
          <w:rFonts w:ascii="Aptos" w:hAnsi="Aptos" w:eastAsia="等线"/>
          <w:b w:val="0"/>
          <w:sz w:val="21"/>
        </w:rPr>
        <w:t>Veeva Vault Help, 2025。</w:t>
      </w:r>
      <w:r>
        <w:t xml:space="preserve"> </w:t>
      </w:r>
      <w:hyperlink r:id="rId15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and registration record handling comparison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150. [BUS-004] Oracle Clinical One overview solution brief. </w:t>
      </w:r>
      <w:r>
        <w:rPr>
          <w:rFonts w:ascii="Aptos" w:hAnsi="Aptos" w:eastAsia="等线"/>
          <w:b w:val="0"/>
          <w:sz w:val="21"/>
        </w:rPr>
        <w:t>Oracle, 2021。</w:t>
      </w:r>
      <w:r>
        <w:t xml:space="preserve"> </w:t>
      </w:r>
      <w:hyperlink r:id="rId16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Unified eClinical platform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151. [BUS-005] Oracle Clinical Trial Data Collection. </w:t>
      </w:r>
      <w:r>
        <w:rPr>
          <w:rFonts w:ascii="Aptos" w:hAnsi="Aptos" w:eastAsia="等线"/>
          <w:b w:val="0"/>
          <w:sz w:val="21"/>
        </w:rPr>
        <w:t>Oracle, 2026。</w:t>
      </w:r>
      <w:r>
        <w:t xml:space="preserve"> </w:t>
      </w:r>
      <w:hyperlink r:id="rId16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change and trial setup platform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152. [BUS-006] Applying Protocol Amendments to Sites and Clinical Subjects. </w:t>
      </w:r>
      <w:r>
        <w:rPr>
          <w:rFonts w:ascii="Aptos" w:hAnsi="Aptos" w:eastAsia="等线"/>
          <w:b w:val="0"/>
          <w:sz w:val="21"/>
        </w:rPr>
        <w:t>Oracle Documentation, 2026。</w:t>
      </w:r>
      <w:r>
        <w:t xml:space="preserve"> </w:t>
      </w:r>
      <w:hyperlink r:id="rId16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Concrete downstream objects affected by protocol amendment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153. [BUS-007] Medidata AI. </w:t>
      </w:r>
      <w:r>
        <w:rPr>
          <w:rFonts w:ascii="Aptos" w:hAnsi="Aptos" w:eastAsia="等线"/>
          <w:b w:val="0"/>
          <w:sz w:val="21"/>
        </w:rPr>
        <w:t>Medidata, 2026。</w:t>
      </w:r>
      <w:r>
        <w:t xml:space="preserve"> </w:t>
      </w:r>
      <w:hyperlink r:id="rId16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across clinical trial lifecycle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154. [BUS-008] Medidata Clinical Data Studio. </w:t>
      </w:r>
      <w:r>
        <w:rPr>
          <w:rFonts w:ascii="Aptos" w:hAnsi="Aptos" w:eastAsia="等线"/>
          <w:b w:val="0"/>
          <w:sz w:val="21"/>
        </w:rPr>
        <w:t>Medidata, 2026。</w:t>
      </w:r>
      <w:r>
        <w:t xml:space="preserve"> </w:t>
      </w:r>
      <w:hyperlink r:id="rId16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AI-assisted clinical data review adjacent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155. [BUS-009] AI in Clinical Study Builds redefining EDC efficiency. </w:t>
      </w:r>
      <w:r>
        <w:rPr>
          <w:rFonts w:ascii="Aptos" w:hAnsi="Aptos" w:eastAsia="等线"/>
          <w:b w:val="0"/>
          <w:sz w:val="21"/>
        </w:rPr>
        <w:t>Medidata, 2025。</w:t>
      </w:r>
      <w:r>
        <w:t xml:space="preserve"> </w:t>
      </w:r>
      <w:hyperlink r:id="rId16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Turning static protocol documents into dynamic collection structures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156. [BUS-010] Clinical Data Studio press release. </w:t>
      </w:r>
      <w:r>
        <w:rPr>
          <w:rFonts w:ascii="Aptos" w:hAnsi="Aptos" w:eastAsia="等线"/>
          <w:b w:val="0"/>
          <w:sz w:val="21"/>
        </w:rPr>
        <w:t>Medidata and Dassault Systemes, 2024。</w:t>
      </w:r>
      <w:r>
        <w:t xml:space="preserve"> </w:t>
      </w:r>
      <w:hyperlink r:id="rId16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Vendor claim for AI data review and reconciliation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157. [BUS-011] Kitsa AI-powered clinical trial documentation. </w:t>
      </w:r>
      <w:r>
        <w:rPr>
          <w:rFonts w:ascii="Aptos" w:hAnsi="Aptos" w:eastAsia="等线"/>
          <w:b w:val="0"/>
          <w:sz w:val="21"/>
        </w:rPr>
        <w:t>Kitsa, 2026。</w:t>
      </w:r>
      <w:r>
        <w:t xml:space="preserve"> </w:t>
      </w:r>
      <w:hyperlink r:id="rId16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AI protocol and regulatory writing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158. [BUS-012] Kitsa Tech Mahindra agentic AI medical writing partnership. </w:t>
      </w:r>
      <w:r>
        <w:rPr>
          <w:rFonts w:ascii="Aptos" w:hAnsi="Aptos" w:eastAsia="等线"/>
          <w:b w:val="0"/>
          <w:sz w:val="21"/>
        </w:rPr>
        <w:t>Tech Mahindra and Kitsa, 2026。</w:t>
      </w:r>
      <w:r>
        <w:t xml:space="preserve"> </w:t>
      </w:r>
      <w:hyperlink r:id="rId16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Agentic AI medical writing market signal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159. [BUS-013] Clinical Trial Protocol Optimization with Generative AI. </w:t>
      </w:r>
      <w:r>
        <w:rPr>
          <w:rFonts w:ascii="Aptos" w:hAnsi="Aptos" w:eastAsia="等线"/>
          <w:b w:val="0"/>
          <w:sz w:val="21"/>
        </w:rPr>
        <w:t>Clinion, 2025。</w:t>
      </w:r>
      <w:r>
        <w:t xml:space="preserve"> </w:t>
      </w:r>
      <w:hyperlink r:id="rId16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Vendor framing of generative AI protocol optimization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160. [BUS-014] Kitsa Blog Index. </w:t>
      </w:r>
      <w:r>
        <w:rPr>
          <w:rFonts w:ascii="Aptos" w:hAnsi="Aptos" w:eastAsia="等线"/>
          <w:b w:val="0"/>
          <w:sz w:val="21"/>
        </w:rPr>
        <w:t>Kitsa, 2026。</w:t>
      </w:r>
      <w:r>
        <w:t xml:space="preserve"> </w:t>
      </w:r>
      <w:hyperlink r:id="rId17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vocabulary around clinical trial documentation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161. [BUS-015] Medical Writing Automatic Clinical Protocol Generation. </w:t>
      </w:r>
      <w:r>
        <w:rPr>
          <w:rFonts w:ascii="Aptos" w:hAnsi="Aptos" w:eastAsia="等线"/>
          <w:b w:val="0"/>
          <w:sz w:val="21"/>
        </w:rPr>
        <w:t>CARA Life Sciences, 2026。</w:t>
      </w:r>
      <w:r>
        <w:t xml:space="preserve"> </w:t>
      </w:r>
      <w:hyperlink r:id="rId17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Component authoring and protocol generation comparator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162. [BUS-016] TrialAssure clinical data transparency software leader. </w:t>
      </w:r>
      <w:r>
        <w:rPr>
          <w:rFonts w:ascii="Aptos" w:hAnsi="Aptos" w:eastAsia="等线"/>
          <w:b w:val="0"/>
          <w:sz w:val="21"/>
        </w:rPr>
        <w:t>TrialAssure, 2026。</w:t>
      </w:r>
      <w:r>
        <w:t xml:space="preserve"> </w:t>
      </w:r>
      <w:hyperlink r:id="rId17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Clinical transparency and disclosure adjacent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163. [BUS-017] TrialAssure ANONYMIZE data anonymization transparency software. </w:t>
      </w:r>
      <w:r>
        <w:rPr>
          <w:rFonts w:ascii="Aptos" w:hAnsi="Aptos" w:eastAsia="等线"/>
          <w:b w:val="0"/>
          <w:sz w:val="21"/>
        </w:rPr>
        <w:t>TrialAssure, 2026。</w:t>
      </w:r>
      <w:r>
        <w:t xml:space="preserve"> </w:t>
      </w:r>
      <w:hyperlink r:id="rId17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Privacy and anonymization adjacent product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164. [BUS-018] Narrativa Clinical Atlas protocol clinical trials automation with AI agents. </w:t>
      </w:r>
      <w:r>
        <w:rPr>
          <w:rFonts w:ascii="Aptos" w:hAnsi="Aptos" w:eastAsia="等线"/>
          <w:b w:val="0"/>
          <w:sz w:val="21"/>
        </w:rPr>
        <w:t>Narrativa, 2026。</w:t>
      </w:r>
      <w:r>
        <w:t xml:space="preserve"> </w:t>
      </w:r>
      <w:hyperlink r:id="rId17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automation with specialized AI agents market signal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165. [BUS-019] Paperguide Clinical Trial Design and Protocol Writing. </w:t>
      </w:r>
      <w:r>
        <w:rPr>
          <w:rFonts w:ascii="Aptos" w:hAnsi="Aptos" w:eastAsia="等线"/>
          <w:b w:val="0"/>
          <w:sz w:val="21"/>
        </w:rPr>
        <w:t>Paperguide, 2026。</w:t>
      </w:r>
      <w:r>
        <w:t xml:space="preserve"> </w:t>
      </w:r>
      <w:hyperlink r:id="rId17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Research-backed protocol writing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166. [BUS-020] Clinical Trials Protocol Authoring using LLMs. </w:t>
      </w:r>
      <w:r>
        <w:rPr>
          <w:rFonts w:ascii="Aptos" w:hAnsi="Aptos" w:eastAsia="等线"/>
          <w:b w:val="0"/>
          <w:sz w:val="21"/>
        </w:rPr>
        <w:t>arXiv, 2024。</w:t>
      </w:r>
      <w:r>
        <w:t xml:space="preserve"> </w:t>
      </w:r>
      <w:hyperlink r:id="rId17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LLM-assisted protocol authoring technical baseline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167. [BUS-021] CoAuthor Life Science GenAI Software for Medical Writing. </w:t>
      </w:r>
      <w:r>
        <w:rPr>
          <w:rFonts w:ascii="Aptos" w:hAnsi="Aptos" w:eastAsia="等线"/>
          <w:b w:val="0"/>
          <w:sz w:val="21"/>
        </w:rPr>
        <w:t>Certara, 2026。</w:t>
      </w:r>
      <w:r>
        <w:t xml:space="preserve"> </w:t>
      </w:r>
      <w:hyperlink r:id="rId17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regulatory and medical writing GenAI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168. [BUS-022] Certara Launches CoAuthor a Regulatory and Medical Writing Tool. </w:t>
      </w:r>
      <w:r>
        <w:rPr>
          <w:rFonts w:ascii="Aptos" w:hAnsi="Aptos" w:eastAsia="等线"/>
          <w:b w:val="0"/>
          <w:sz w:val="21"/>
        </w:rPr>
        <w:t>Certara, 2023。</w:t>
      </w:r>
      <w:r>
        <w:t xml:space="preserve"> </w:t>
      </w:r>
      <w:hyperlink r:id="rId17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Launch source for CoAuthor positioning in clinical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169. [BUS-023] CoAuthor Factsheet. </w:t>
      </w:r>
      <w:r>
        <w:rPr>
          <w:rFonts w:ascii="Aptos" w:hAnsi="Aptos" w:eastAsia="等线"/>
          <w:b w:val="0"/>
          <w:sz w:val="21"/>
        </w:rPr>
        <w:t>Certara, 2026。</w:t>
      </w:r>
      <w:r>
        <w:t xml:space="preserve"> </w:t>
      </w:r>
      <w:hyperlink r:id="rId17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content authoring and Microsoft Word integration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170. [BUS-024] Medical Writing Automation. </w:t>
      </w:r>
      <w:r>
        <w:rPr>
          <w:rFonts w:ascii="Aptos" w:hAnsi="Aptos" w:eastAsia="等线"/>
          <w:b w:val="0"/>
          <w:sz w:val="21"/>
        </w:rPr>
        <w:t>Yseop, 2026。</w:t>
      </w:r>
      <w:r>
        <w:t xml:space="preserve"> </w:t>
      </w:r>
      <w:hyperlink r:id="rId18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Medical writing automation competitor focused on reports and narratives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171. [BUS-025] Clinical Document Automation. </w:t>
      </w:r>
      <w:r>
        <w:rPr>
          <w:rFonts w:ascii="Aptos" w:hAnsi="Aptos" w:eastAsia="等线"/>
          <w:b w:val="0"/>
          <w:sz w:val="21"/>
        </w:rPr>
        <w:t>Yseop, 2026。</w:t>
      </w:r>
      <w:r>
        <w:t xml:space="preserve"> </w:t>
      </w:r>
      <w:hyperlink r:id="rId18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AI-based NLG clinical document automation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172. [BUS-026] Welcome to Yseop Copilot. </w:t>
      </w:r>
      <w:r>
        <w:rPr>
          <w:rFonts w:ascii="Aptos" w:hAnsi="Aptos" w:eastAsia="等线"/>
          <w:b w:val="0"/>
          <w:sz w:val="21"/>
        </w:rPr>
        <w:t>Yseop, 2026。</w:t>
      </w:r>
      <w:r>
        <w:t xml:space="preserve"> </w:t>
      </w:r>
      <w:hyperlink r:id="rId18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Regulatory authoring workflow automation and Word/Veeva integration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173. [BUS-027] eTMF Features Built for a Better Clinical Trial. </w:t>
      </w:r>
      <w:r>
        <w:rPr>
          <w:rFonts w:ascii="Aptos" w:hAnsi="Aptos" w:eastAsia="等线"/>
          <w:b w:val="0"/>
          <w:sz w:val="21"/>
        </w:rPr>
        <w:t>Montrium, 2026。</w:t>
      </w:r>
      <w:r>
        <w:t xml:space="preserve"> </w:t>
      </w:r>
      <w:hyperlink r:id="rId18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Document management and artifact linking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174. [BUS-028] Montrium clinical operations platform. </w:t>
      </w:r>
      <w:r>
        <w:rPr>
          <w:rFonts w:ascii="Aptos" w:hAnsi="Aptos" w:eastAsia="等线"/>
          <w:b w:val="0"/>
          <w:sz w:val="21"/>
        </w:rPr>
        <w:t>Montrium, 2026。</w:t>
      </w:r>
      <w:r>
        <w:t xml:space="preserve"> </w:t>
      </w:r>
      <w:hyperlink r:id="rId18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Cloud eTMF eQMS and RIM platform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175. [BUS-029] eTMF Systems. </w:t>
      </w:r>
      <w:r>
        <w:rPr>
          <w:rFonts w:ascii="Aptos" w:hAnsi="Aptos" w:eastAsia="等线"/>
          <w:b w:val="0"/>
          <w:sz w:val="21"/>
        </w:rPr>
        <w:t>MasterControl, 2026。</w:t>
      </w:r>
      <w:r>
        <w:t xml:space="preserve"> </w:t>
      </w:r>
      <w:hyperlink r:id="rId18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eTMF and clinical document management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176. [BUS-030] MasterControl eTMF Manager. </w:t>
      </w:r>
      <w:r>
        <w:rPr>
          <w:rFonts w:ascii="Aptos" w:hAnsi="Aptos" w:eastAsia="等线"/>
          <w:b w:val="0"/>
          <w:sz w:val="21"/>
        </w:rPr>
        <w:t>MasterControl, 2026。</w:t>
      </w:r>
      <w:r>
        <w:t xml:space="preserve"> </w:t>
      </w:r>
      <w:hyperlink r:id="rId18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Document control change control audit and risk management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177. [COMP-001] HumanTrue clinical trials quality copilot. </w:t>
      </w:r>
      <w:r>
        <w:rPr>
          <w:rFonts w:ascii="Aptos" w:hAnsi="Aptos" w:eastAsia="等线"/>
          <w:b w:val="0"/>
          <w:sz w:val="21"/>
        </w:rPr>
        <w:t>HumanTrue, 2026。</w:t>
      </w:r>
      <w:r>
        <w:t xml:space="preserve"> </w:t>
      </w:r>
      <w:hyperlink r:id="rId18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competitor evidence for protocol quality, ambiguity and consistency positioning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178. [COMP-002] Cori Clinical AI workspace for clinical trial documents. </w:t>
      </w:r>
      <w:r>
        <w:rPr>
          <w:rFonts w:ascii="Aptos" w:hAnsi="Aptos" w:eastAsia="等线"/>
          <w:b w:val="0"/>
          <w:sz w:val="21"/>
        </w:rPr>
        <w:t>Cori Clinical, 2026。</w:t>
      </w:r>
      <w:r>
        <w:t xml:space="preserve"> </w:t>
      </w:r>
      <w:hyperlink r:id="rId18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competitor evidence for drafting, QC, review and change control across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179. [COMP-003] Cori Clinical ASSIST Word-centered authoring. </w:t>
      </w:r>
      <w:r>
        <w:rPr>
          <w:rFonts w:ascii="Aptos" w:hAnsi="Aptos" w:eastAsia="等线"/>
          <w:b w:val="0"/>
          <w:sz w:val="21"/>
        </w:rPr>
        <w:t>Cori Clinical, 2026。</w:t>
      </w:r>
      <w:r>
        <w:t xml:space="preserve"> </w:t>
      </w:r>
      <w:hyperlink r:id="rId18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Word add-in and connected authoring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180. [COMP-004] Cori Clinical REVIEW cross-document coherence. </w:t>
      </w:r>
      <w:r>
        <w:rPr>
          <w:rFonts w:ascii="Aptos" w:hAnsi="Aptos" w:eastAsia="等线"/>
          <w:b w:val="0"/>
          <w:sz w:val="21"/>
        </w:rPr>
        <w:t>Cori Clinical, 2026。</w:t>
      </w:r>
      <w:r>
        <w:t xml:space="preserve"> </w:t>
      </w:r>
      <w:hyperlink r:id="rId19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document review and coherence across trial files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181. [COMP-005] Clinials protocol intelligence platform. </w:t>
      </w:r>
      <w:r>
        <w:rPr>
          <w:rFonts w:ascii="Aptos" w:hAnsi="Aptos" w:eastAsia="等线"/>
          <w:b w:val="0"/>
          <w:sz w:val="21"/>
        </w:rPr>
        <w:t>Clinials, 2026。</w:t>
      </w:r>
      <w:r>
        <w:t xml:space="preserve"> </w:t>
      </w:r>
      <w:hyperlink r:id="rId19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AI-powered protocol-to-structured-document generation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182. [COMP-006] Clinials about protocol intelligence. </w:t>
      </w:r>
      <w:r>
        <w:rPr>
          <w:rFonts w:ascii="Aptos" w:hAnsi="Aptos" w:eastAsia="等线"/>
          <w:b w:val="0"/>
          <w:sz w:val="21"/>
        </w:rPr>
        <w:t>Clinials, 2026。</w:t>
      </w:r>
      <w:r>
        <w:t xml:space="preserve"> </w:t>
      </w:r>
      <w:hyperlink r:id="rId19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extracting what matters from protocols and related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183. [COMP-007] Taimei Wiz-iCTA document management agent. </w:t>
      </w:r>
      <w:r>
        <w:rPr>
          <w:rFonts w:ascii="Aptos" w:hAnsi="Aptos" w:eastAsia="等线"/>
          <w:b w:val="0"/>
          <w:sz w:val="21"/>
        </w:rPr>
        <w:t>Taimei Technology, 2026。</w:t>
      </w:r>
      <w:r>
        <w:t xml:space="preserve"> </w:t>
      </w:r>
      <w:hyperlink r:id="rId19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China competitor evidence for intelligent TMF document management and clinical operations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184. [COMP-008] Taimei ICH M11 and AI platform article. </w:t>
      </w:r>
      <w:r>
        <w:rPr>
          <w:rFonts w:ascii="Aptos" w:hAnsi="Aptos" w:eastAsia="等线"/>
          <w:b w:val="0"/>
          <w:sz w:val="21"/>
        </w:rPr>
        <w:t>Taimei Technology, 2026。</w:t>
      </w:r>
      <w:r>
        <w:t xml:space="preserve"> </w:t>
      </w:r>
      <w:hyperlink r:id="rId19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China market evidence for ICH M11, AI agents, iCTA, iDM, eCRF and structured clinical data workflows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185. [COMP-010] Evinova Study Document Assistant. </w:t>
      </w:r>
      <w:r>
        <w:rPr>
          <w:rFonts w:ascii="Aptos" w:hAnsi="Aptos" w:eastAsia="等线"/>
          <w:b w:val="0"/>
          <w:sz w:val="21"/>
        </w:rPr>
        <w:t>Evinova, 2026。</w:t>
      </w:r>
      <w:r>
        <w:t xml:space="preserve"> </w:t>
      </w:r>
      <w:hyperlink r:id="rId19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study document assistant and documentation workflow improvement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186. [COMP-011] IQVIA Protocol Design Optimization. </w:t>
      </w:r>
      <w:r>
        <w:rPr>
          <w:rFonts w:ascii="Aptos" w:hAnsi="Aptos" w:eastAsia="等线"/>
          <w:b w:val="0"/>
          <w:sz w:val="21"/>
        </w:rPr>
        <w:t>IQVIA, 2026。</w:t>
      </w:r>
      <w:r>
        <w:t xml:space="preserve"> </w:t>
      </w:r>
      <w:hyperlink r:id="rId19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protocol design optimization and protocol risk assessment positioning.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187. [COMP-012] Medidata Protocol Optimization. </w:t>
      </w:r>
      <w:r>
        <w:rPr>
          <w:rFonts w:ascii="Aptos" w:hAnsi="Aptos" w:eastAsia="等线"/>
          <w:b w:val="0"/>
          <w:sz w:val="21"/>
        </w:rPr>
        <w:t>Medidata, 2026。</w:t>
      </w:r>
      <w:r>
        <w:t xml:space="preserve"> </w:t>
      </w:r>
      <w:hyperlink r:id="rId19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AI-supported protocol optimization and proprietary cross-industry data positioning.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188. [COMP-013] Medidata Clinical Trial Analytics and Study Feasibility. </w:t>
      </w:r>
      <w:r>
        <w:rPr>
          <w:rFonts w:ascii="Aptos" w:hAnsi="Aptos" w:eastAsia="等线"/>
          <w:b w:val="0"/>
          <w:sz w:val="21"/>
        </w:rPr>
        <w:t>Medidata, 2026。</w:t>
      </w:r>
      <w:r>
        <w:t xml:space="preserve"> </w:t>
      </w:r>
      <w:hyperlink r:id="rId19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platform evidence for feasibility, enrollment forecasting and site-level analytics.</w:t>
      </w:r>
    </w:p>
    <w:p>
      <w:pPr>
        <w:pStyle w:val="Heading1"/>
      </w:pPr>
      <w:r>
        <w:t>平台与系统集成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189. [FS-001] 欢迎使用飞书Aily. </w:t>
      </w:r>
      <w:r>
        <w:rPr>
          <w:rFonts w:ascii="Aptos" w:hAnsi="Aptos" w:eastAsia="等线"/>
          <w:b w:val="0"/>
          <w:sz w:val="21"/>
        </w:rPr>
        <w:t>Feishu Aily, 2026。</w:t>
      </w:r>
      <w:r>
        <w:t xml:space="preserve"> </w:t>
      </w:r>
      <w:hyperlink r:id="rId19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Aily as enterprise agent platform and deployment interface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190. [FS-002] Get started with Feishu Aily.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English Feishu Aily feature overview for competition integration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191. [FS-003] 快速了解飞书Aily.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Feishu Aily overview and custom agent capability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192. [FS-004] Use the AI Agent node in Workflow.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Workflow AI Agent node as orchestration interface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193. [FS-005] 企业级智能体开发平台定制你的AI专属工作助手.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Official positioning for Aily skills knowledge data processing and enterprise integration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194. [FS-006] 飞书智能伙伴平台Aily的对话模式.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Defines reasoning workflow knowledge QA and hybrid scheduling modes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195. [FS-007] Use AI-generated text in Workflow and Automations.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workflow text generation and automation interface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196. [FS-008] 飞书知识库 AI赋能的企业级结构化知识管理工具.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knowledge base as structured enterprise knowledge layer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197. [FS-009] Use AI to build workflows in Base.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Base workflow generation by AI for low-code orchestration story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198. [FS-010] Overview of Feishu AI plans and AI quota usage rules. </w:t>
      </w:r>
      <w:r>
        <w:rPr>
          <w:rFonts w:ascii="Aptos" w:hAnsi="Aptos" w:eastAsia="等线"/>
          <w:b w:val="0"/>
          <w:sz w:val="21"/>
        </w:rPr>
        <w:t>Feishu, 2026。</w:t>
      </w:r>
      <w:r>
        <w:t xml:space="preserve"> </w:t>
      </w:r>
      <w:hyperlink r:id="rId20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Quota and plan constraints for deployment discussion</w:t>
      </w:r>
    </w:p>
    <w:p>
      <w:pPr>
        <w:pStyle w:val="Heading1"/>
      </w:pPr>
      <w:r>
        <w:t>项目内部材料（不作为外部证据）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199. [INTERNAL-004] 调研数据表.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200. [INTERNAL-005] 附件-TrialCompiler项目风险与质量控制.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201. [INTERNAL-006] 附件-价值测算模型与基线数据表.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202. [INTERNAL-007] 附件-用户反馈与行业专家访谈综合分析.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203. [INTERNAL-008] 附件-行业分析报告.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204. [INTERNAL-010] TrialCompiler_附件资料任务清单.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205. [INTERNAL-011] 附件_TrialCompiler总体架构与受控数据流.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206. [INTERNAL-012] 附件_临床研究法规标准与TrialCompiler功能映射表.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207. [LOCAL-001] README_使用说明.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Source-package administration or internal documentation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208. [LOCAL-002] 医学知识库权威资料索引_20260717. </w:t>
      </w:r>
      <w:r>
        <w:rPr>
          <w:rFonts w:ascii="Aptos" w:hAnsi="Aptos" w:eastAsia="等线"/>
          <w:b w:val="0"/>
          <w:sz w:val="21"/>
        </w:rPr>
        <w:t>TrialCompiler project team, 2026。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Source-package administration or internal documentation</w:t>
      </w:r>
    </w:p>
    <w:p>
      <w:pPr>
        <w:pStyle w:val="Heading1"/>
      </w:pPr>
      <w:r>
        <w:t>数据来源与评测基线说明</w:t>
      </w:r>
    </w:p>
    <w:p>
      <w:r>
        <w:t>本项目真实案例来自ClinicalTrials.gov API v2、研究登记页及公开附件。未修改的登记快照、研究方案、统计分析计划和知情同意文件在评测中统一视为正确基线；系统只在隔离副本中应用有记录、可逆的受控变异，构造答案确定的缺陷正例。公开原始材料中的关键词和表面差异作为复杂负对照，用于检验误报控制。</w:t>
      </w:r>
    </w:p>
    <w:p>
      <w:pPr>
        <w:pStyle w:val="Heading1"/>
      </w:pPr>
      <w:r>
        <w:t>可复现性</w:t>
      </w:r>
    </w:p>
    <w:p>
      <w:r>
        <w:t>机器可读总账位于 references/catalog/sources.jsonl；来源别名、重复项、本地快照和校验信息位于 references/catalog/ 与 references/metadata/。本Word文件由脚本自动生成。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等线"/>
        <w:b w:val="0"/>
        <w:color w:val="5A6069"/>
        <w:sz w:val="18"/>
      </w:rPr>
      <w:t xml:space="preserve">第 </w:t>
    </w:r>
    <w:fldSimple w:instr="PAGE"/>
    <w:r>
      <w:rPr>
        <w:rFonts w:ascii="Aptos" w:hAnsi="Aptos" w:eastAsia="等线"/>
        <w:b w:val="0"/>
        <w:color w:val="5A606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等线"/>
        <w:b/>
        <w:color w:val="5A6069"/>
        <w:sz w:val="17"/>
      </w:rPr>
      <w:t>TRIALCOMPILER  ·  REFERENCES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" w:hAnsi="Aptos" w:eastAsia="等线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" w:hAnsi="Aptos" w:eastAsia="等线"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" w:hAnsi="Aptos" w:eastAsia="等线"/>
      <w:i/>
      <w:iCs/>
      <w:color w:val="5A60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mpa.gov.cn/xxgk/fgwj/xzhgfxwj/20200426162401243.html" TargetMode="External"/><Relationship Id="rId12" Type="http://schemas.openxmlformats.org/officeDocument/2006/relationships/hyperlink" Target="https://www.nmpa.gov.cn/xxgk/fgwj/xzhgfxwj/20260608103856150.html" TargetMode="External"/><Relationship Id="rId13" Type="http://schemas.openxmlformats.org/officeDocument/2006/relationships/hyperlink" Target="https://www.cde.org.cn/main/att/download/7da62eab6c2d93cb350048a1f507d348" TargetMode="External"/><Relationship Id="rId14" Type="http://schemas.openxmlformats.org/officeDocument/2006/relationships/hyperlink" Target="https://pharmwyp.com/posts/56814/3.%E4%B8%B4%E5%BA%8A%E8%AF%95%E9%AA%8C%E5%AE%9E%E6%96%BD/3.4%E8%AF%95%E9%AA%8C%E7%AC%A6%E5%90%88%E6%80%A7/20220623_CDE_%E5%85%B3%E4%BA%8E%E5%8F%91%E5%B8%83%E3%80%8A%E8%8D%AF%E7%89%A9%E4%B8%B4%E5%BA%8A%E8%AF%95%E9%AA%8C%E6%9C%9F%E9%97%B4%E6%96%B9%E6%A1%88%E5%8F%98%E6%9B%B4%E6%8A%80%E6%9C%AF%E6%8C%87%E5%AF%BC%E5%8E%9F%E5%88%99%EF%BC%88%E8%AF%95%E8%A1%8C%EF%BC%89%E3%80%8B%E7%9A%84%E9%80%9A%E5%91%8A%EF%BC%882022%E5%B9%B4%E7%AC%AC34%E5%8F%B7%EF%BC%89.pdf" TargetMode="External"/><Relationship Id="rId15" Type="http://schemas.openxmlformats.org/officeDocument/2006/relationships/hyperlink" Target="https://m.cnpharm.com/c/2022-06-23/829152.shtml" TargetMode="External"/><Relationship Id="rId16" Type="http://schemas.openxmlformats.org/officeDocument/2006/relationships/hyperlink" Target="https://m.cnpharm.com/c/2022-01-04/814382.shtml" TargetMode="External"/><Relationship Id="rId17" Type="http://schemas.openxmlformats.org/officeDocument/2006/relationships/hyperlink" Target="https://www.fda.gov/about-fda/center-drug-evaluation-and-research-cder/artificial-intelligence-drug-development" TargetMode="External"/><Relationship Id="rId18" Type="http://schemas.openxmlformats.org/officeDocument/2006/relationships/hyperlink" Target="https://database.ich.org/sites/default/files/ICH_E6%28R3%29_Step4_FinalGuideline_2025_0106_ErrorCorrections_2025_1024.pdf" TargetMode="External"/><Relationship Id="rId19" Type="http://schemas.openxmlformats.org/officeDocument/2006/relationships/hyperlink" Target="https://database.ich.org/sites/default/files/ICH_E6%28R3%29_Annex%202_Guideline_Step%204_2026_0603_0.pdf" TargetMode="External"/><Relationship Id="rId20" Type="http://schemas.openxmlformats.org/officeDocument/2006/relationships/hyperlink" Target="https://database.ich.org/sites/default/files/ICH_E8-R1_Guideline_Step4_2021_1006.pdf" TargetMode="External"/><Relationship Id="rId21" Type="http://schemas.openxmlformats.org/officeDocument/2006/relationships/hyperlink" Target="https://database.ich.org/sites/default/files/E2A_Guideline.pdf" TargetMode="External"/><Relationship Id="rId22" Type="http://schemas.openxmlformats.org/officeDocument/2006/relationships/hyperlink" Target="https://iris.who.int/bitstream/handle/10665/378782/9789240097711-eng.pdf" TargetMode="External"/><Relationship Id="rId23" Type="http://schemas.openxmlformats.org/officeDocument/2006/relationships/hyperlink" Target="https://www.wma.net/wp-content/uploads/2024/11/HB-E-Version-2024.pdf" TargetMode="External"/><Relationship Id="rId24" Type="http://schemas.openxmlformats.org/officeDocument/2006/relationships/hyperlink" Target="https://cioms.ch/wp-content/uploads/2017/01/WEB-CIOMS-EthicalGuidelines.pdf" TargetMode="External"/><Relationship Id="rId25" Type="http://schemas.openxmlformats.org/officeDocument/2006/relationships/hyperlink" Target="https://yjj.sh.gov.cn/cmsres/01/019e5e2d868c470f9927c3a9672fc59c/203167cf5e796696423edf05cb8c3174.doc" TargetMode="External"/><Relationship Id="rId26" Type="http://schemas.openxmlformats.org/officeDocument/2006/relationships/hyperlink" Target="https://yjj.sh.gov.cn/cmsres/6c/6c38f69ae6a942e684221c90927db3c1/b6bd1d09af642f8f1107a80d3e0a3f59.doc" TargetMode="External"/><Relationship Id="rId27" Type="http://schemas.openxmlformats.org/officeDocument/2006/relationships/hyperlink" Target="https://www.bmj.com/content/389/bmj-2024-081477.full.pdf" TargetMode="External"/><Relationship Id="rId28" Type="http://schemas.openxmlformats.org/officeDocument/2006/relationships/hyperlink" Target="https://www.bmj.com/content/bmj/389/bmj-2024-081660.full.pdf" TargetMode="External"/><Relationship Id="rId29" Type="http://schemas.openxmlformats.org/officeDocument/2006/relationships/hyperlink" Target="https://www.bmj.com/content/389/bmj-2024-081123.full.pdf" TargetMode="External"/><Relationship Id="rId30" Type="http://schemas.openxmlformats.org/officeDocument/2006/relationships/hyperlink" Target="https://www.bmj.com/content/389/bmj-2024-081124.full.pdf" TargetMode="External"/><Relationship Id="rId31" Type="http://schemas.openxmlformats.org/officeDocument/2006/relationships/hyperlink" Target="https://www.fda.gov/media/78495/download" TargetMode="External"/><Relationship Id="rId32" Type="http://schemas.openxmlformats.org/officeDocument/2006/relationships/hyperlink" Target="https://www.fda.gov/media/121320/download" TargetMode="External"/><Relationship Id="rId33" Type="http://schemas.openxmlformats.org/officeDocument/2006/relationships/hyperlink" Target="https://www.fda.gov/media/168507/download" TargetMode="External"/><Relationship Id="rId34" Type="http://schemas.openxmlformats.org/officeDocument/2006/relationships/hyperlink" Target="https://www.fda.gov/media/167696/download" TargetMode="External"/><Relationship Id="rId35" Type="http://schemas.openxmlformats.org/officeDocument/2006/relationships/hyperlink" Target="https://www.fda.gov/media/184745/download" TargetMode="External"/><Relationship Id="rId36" Type="http://schemas.openxmlformats.org/officeDocument/2006/relationships/hyperlink" Target="https://www.fda.gov/media/190505/download" TargetMode="External"/><Relationship Id="rId37" Type="http://schemas.openxmlformats.org/officeDocument/2006/relationships/hyperlink" Target="https://database.ich.org/sites/default/files/E10_Guideline.pdf" TargetMode="External"/><Relationship Id="rId38" Type="http://schemas.openxmlformats.org/officeDocument/2006/relationships/hyperlink" Target="https://database.ich.org/sites/default/files/E4_Guideline.pdf" TargetMode="External"/><Relationship Id="rId39" Type="http://schemas.openxmlformats.org/officeDocument/2006/relationships/hyperlink" Target="https://database.ich.org/sites/default/files/E5_R1__Guideline.pdf" TargetMode="External"/><Relationship Id="rId40" Type="http://schemas.openxmlformats.org/officeDocument/2006/relationships/hyperlink" Target="https://database.ich.org/sites/default/files/E7_Guideline.pdf" TargetMode="External"/><Relationship Id="rId41" Type="http://schemas.openxmlformats.org/officeDocument/2006/relationships/hyperlink" Target="https://database.ich.org/sites/default/files/E11_R1_Guideline.pdf" TargetMode="External"/><Relationship Id="rId42" Type="http://schemas.openxmlformats.org/officeDocument/2006/relationships/hyperlink" Target="https://database.ich.org/sites/default/files/ICH_E11A_Guideline_Step4_2024_0821.pdf" TargetMode="External"/><Relationship Id="rId43" Type="http://schemas.openxmlformats.org/officeDocument/2006/relationships/hyperlink" Target="https://database.ich.org/sites/default/files/E18_Guideline.pdf" TargetMode="External"/><Relationship Id="rId44" Type="http://schemas.openxmlformats.org/officeDocument/2006/relationships/hyperlink" Target="https://database.ich.org/sites/default/files/ICH_E19_Guideline_Step4_2022_0826_0.pdf" TargetMode="External"/><Relationship Id="rId45" Type="http://schemas.openxmlformats.org/officeDocument/2006/relationships/hyperlink" Target="https://database.ich.org/sites/default/files/ICH_E2D%28R1%29_Step4_FinalGuideline_2025_0819.pdf" TargetMode="External"/><Relationship Id="rId46" Type="http://schemas.openxmlformats.org/officeDocument/2006/relationships/hyperlink" Target="https://database.ich.org/sites/default/files/ICH_Step4_M11_Final_Guideline_2025_1119.pdf" TargetMode="External"/><Relationship Id="rId47" Type="http://schemas.openxmlformats.org/officeDocument/2006/relationships/hyperlink" Target="https://database.ich.org/sites/default/files/ICH%20M11%20Explainer_May2026.pdf" TargetMode="External"/><Relationship Id="rId48" Type="http://schemas.openxmlformats.org/officeDocument/2006/relationships/hyperlink" Target="https://www.fda.gov/regulatory-information/search-fda-guidance-documents/m11-clinical-electronic-structured-harmonised-protocol" TargetMode="External"/><Relationship Id="rId49" Type="http://schemas.openxmlformats.org/officeDocument/2006/relationships/hyperlink" Target="https://www.ema.europa.eu/en/ich-m11-guideline-clinical-study-protocol-template-technical-specifications-scientific-guideline" TargetMode="External"/><Relationship Id="rId50" Type="http://schemas.openxmlformats.org/officeDocument/2006/relationships/hyperlink" Target="https://www.spirit-statement.org/wp-content/uploads/2013/01/SPIRIT-Checklist-download-8Jan13.pdf" TargetMode="External"/><Relationship Id="rId51" Type="http://schemas.openxmlformats.org/officeDocument/2006/relationships/hyperlink" Target="https://www.spirit-statement.org/wp-content/uploads/SPIRIT_2013_Statement_FR_final.pdf" TargetMode="External"/><Relationship Id="rId52" Type="http://schemas.openxmlformats.org/officeDocument/2006/relationships/hyperlink" Target="https://www.spirit-statement.org/" TargetMode="External"/><Relationship Id="rId53" Type="http://schemas.openxmlformats.org/officeDocument/2006/relationships/hyperlink" Target="https://pmc.ncbi.nlm.nih.gov/articles/PMC8212701/" TargetMode="External"/><Relationship Id="rId54" Type="http://schemas.openxmlformats.org/officeDocument/2006/relationships/hyperlink" Target="https://link.springer.com/article/10.1186/1741-7015-8-18" TargetMode="External"/><Relationship Id="rId55" Type="http://schemas.openxmlformats.org/officeDocument/2006/relationships/hyperlink" Target="https://clinicaltrials.gov/policy/protocol-definitions" TargetMode="External"/><Relationship Id="rId56" Type="http://schemas.openxmlformats.org/officeDocument/2006/relationships/hyperlink" Target="https://database.ich.org/sites/default/files/ICH_E6%28R3%29_Step4_FinalGuideline_2025_0106.pdf" TargetMode="External"/><Relationship Id="rId57" Type="http://schemas.openxmlformats.org/officeDocument/2006/relationships/hyperlink" Target="https://database.ich.org/sites/default/files/E8-R1_Guideline_Step4_2021_1006.pdf" TargetMode="External"/><Relationship Id="rId58" Type="http://schemas.openxmlformats.org/officeDocument/2006/relationships/hyperlink" Target="https://database.ich.org/sites/default/files/E9_Guideline.pdf" TargetMode="External"/><Relationship Id="rId59" Type="http://schemas.openxmlformats.org/officeDocument/2006/relationships/hyperlink" Target="https://database.ich.org/sites/default/files/E9-R1_Step4_Guideline_2019_1203.pdf" TargetMode="External"/><Relationship Id="rId60" Type="http://schemas.openxmlformats.org/officeDocument/2006/relationships/hyperlink" Target="https://pmc.ncbi.nlm.nih.gov/articles/PMC1852589/" TargetMode="External"/><Relationship Id="rId61" Type="http://schemas.openxmlformats.org/officeDocument/2006/relationships/hyperlink" Target="https://pmc.ncbi.nlm.nih.gov/articles/PMC9811046/" TargetMode="External"/><Relationship Id="rId62" Type="http://schemas.openxmlformats.org/officeDocument/2006/relationships/hyperlink" Target="https://pubmed.ncbi.nlm.nih.gov/30227022/" TargetMode="External"/><Relationship Id="rId63" Type="http://schemas.openxmlformats.org/officeDocument/2006/relationships/hyperlink" Target="https://journals.sagepub.com/doi/10.1177/2168479016632271" TargetMode="External"/><Relationship Id="rId64" Type="http://schemas.openxmlformats.org/officeDocument/2006/relationships/hyperlink" Target="https://pubmed.ncbi.nlm.nih.gov/38438658/" TargetMode="External"/><Relationship Id="rId65" Type="http://schemas.openxmlformats.org/officeDocument/2006/relationships/hyperlink" Target="https://pmc.ncbi.nlm.nih.gov/articles/PMC12395810/" TargetMode="External"/><Relationship Id="rId66" Type="http://schemas.openxmlformats.org/officeDocument/2006/relationships/hyperlink" Target="https://www.fda.gov/science-research/clinical-trials-and-human-subject-protection/ich-guidance-documents" TargetMode="External"/><Relationship Id="rId67" Type="http://schemas.openxmlformats.org/officeDocument/2006/relationships/hyperlink" Target="https://www.fda.gov/downloads/regulatoryinformation/guidances/ucm405006.pdf" TargetMode="External"/><Relationship Id="rId68" Type="http://schemas.openxmlformats.org/officeDocument/2006/relationships/hyperlink" Target="https://www.hhs.gov/ohrp/regulations-and-policy/guidance/checklists/index.html" TargetMode="External"/><Relationship Id="rId69" Type="http://schemas.openxmlformats.org/officeDocument/2006/relationships/hyperlink" Target="https://www.fda.gov/regulatory-information/search-fda-guidance-documents/use-electronic-informed-consent-clinical-investigations-questions-and-answers" TargetMode="External"/><Relationship Id="rId70" Type="http://schemas.openxmlformats.org/officeDocument/2006/relationships/hyperlink" Target="https://database.ich.org/sites/default/files/E17EWG_Step4_2017_1116.pdf" TargetMode="External"/><Relationship Id="rId71" Type="http://schemas.openxmlformats.org/officeDocument/2006/relationships/hyperlink" Target="https://www.ema.europa.eu/en/ich-guideline-e17-general-principles-planning-design-multi-regional-clinical-trials-scientific-guideline" TargetMode="External"/><Relationship Id="rId72" Type="http://schemas.openxmlformats.org/officeDocument/2006/relationships/hyperlink" Target="https://www.fda.gov/regulatory-information/search-fda-guidance-documents/e17-general-principles-planning-and-design-multi-regional-clinical-trials" TargetMode="External"/><Relationship Id="rId73" Type="http://schemas.openxmlformats.org/officeDocument/2006/relationships/hyperlink" Target="https://cdn.who.int/media/docs/default-source/documents/ethics/ethics-informedconsent-clinicalstudies.doc?sfvrsn=d69ff68a_0" TargetMode="External"/><Relationship Id="rId74" Type="http://schemas.openxmlformats.org/officeDocument/2006/relationships/hyperlink" Target="https://irbo.nih.gov/nih-irb-templates/consent-templates/" TargetMode="External"/><Relationship Id="rId75" Type="http://schemas.openxmlformats.org/officeDocument/2006/relationships/hyperlink" Target="https://www.niaid.nih.gov/research/dmid-protocols-informed-consent" TargetMode="External"/><Relationship Id="rId76" Type="http://schemas.openxmlformats.org/officeDocument/2006/relationships/hyperlink" Target="https://www.fda.gov/news-events/expanded-access/informed-consent-template-individual-patient-expanded-access" TargetMode="External"/><Relationship Id="rId77" Type="http://schemas.openxmlformats.org/officeDocument/2006/relationships/hyperlink" Target="https://www.transceleratebiopharmainc.com/initiatives/common-statistical-analysis-plan-sap-template/" TargetMode="External"/><Relationship Id="rId78" Type="http://schemas.openxmlformats.org/officeDocument/2006/relationships/hyperlink" Target="https://eu-pearl.eu/wp-content/uploads/2023/05/3.EU-PEARL_SAP_Template_V3-25April2023.docx" TargetMode="External"/><Relationship Id="rId79" Type="http://schemas.openxmlformats.org/officeDocument/2006/relationships/hyperlink" Target="https://biostat.duke.edu/sites/default/files/2022-06/SAP%20template%20for%20website%202020-06-09.docx" TargetMode="External"/><Relationship Id="rId80" Type="http://schemas.openxmlformats.org/officeDocument/2006/relationships/hyperlink" Target="https://dac-trials.org/resources/statistical-analysis-plan-template/" TargetMode="External"/><Relationship Id="rId81" Type="http://schemas.openxmlformats.org/officeDocument/2006/relationships/hyperlink" Target="https://pmc.ncbi.nlm.nih.gov/articles/PMC10300078/" TargetMode="External"/><Relationship Id="rId82" Type="http://schemas.openxmlformats.org/officeDocument/2006/relationships/hyperlink" Target="https://clinicaltrials.gov/policy/results-definitions" TargetMode="External"/><Relationship Id="rId83" Type="http://schemas.openxmlformats.org/officeDocument/2006/relationships/hyperlink" Target="https://clinicaltrials.gov/study-basics/glossary" TargetMode="External"/><Relationship Id="rId84" Type="http://schemas.openxmlformats.org/officeDocument/2006/relationships/hyperlink" Target="https://database.ich.org/sites/default/files/E3_Guideline.pdf" TargetMode="External"/><Relationship Id="rId85" Type="http://schemas.openxmlformats.org/officeDocument/2006/relationships/hyperlink" Target="https://mrctcenter.org/diversity-in-clinical-research/wp-content/uploads/sites/8/2022/06/MRCT-Center-NIH-Protocol-Template-Version-1.0.pdf" TargetMode="External"/><Relationship Id="rId86" Type="http://schemas.openxmlformats.org/officeDocument/2006/relationships/hyperlink" Target="https://www.nia.nih.gov/sites/default/files/2022-03/nia-informed-consent-template.docx" TargetMode="External"/><Relationship Id="rId87" Type="http://schemas.openxmlformats.org/officeDocument/2006/relationships/hyperlink" Target="https://med.nyu.edu/departments-institutes/clinical-translational-science/sites/default/files/standard-consent-template-for-clinical-trials-and-biomedical-research.pdf" TargetMode="External"/><Relationship Id="rId88" Type="http://schemas.openxmlformats.org/officeDocument/2006/relationships/hyperlink" Target="https://pmc.ncbi.nlm.nih.gov/articles/PMC2821287/" TargetMode="External"/><Relationship Id="rId89" Type="http://schemas.openxmlformats.org/officeDocument/2006/relationships/hyperlink" Target="https://www.buffalo.edu/content/dam/www/ctsi/Cores/ClinicalResearchOffice/ClinicalTrialsgov%20Registration%20and%20Results%20Guide%201.16.2024.docx" TargetMode="External"/><Relationship Id="rId90" Type="http://schemas.openxmlformats.org/officeDocument/2006/relationships/hyperlink" Target="https://research.weill.cornell.edu/sites/default/files/policy_forms/wcm_clinicaltrials.gov_protocol_and_sap_upload_and_redaction_guidance_v1.0_11.9.19.pdf" TargetMode="External"/><Relationship Id="rId91" Type="http://schemas.openxmlformats.org/officeDocument/2006/relationships/hyperlink" Target="https://www.iscb.international/files/folders/sira_files/protocol_template_05feb2016_508.pdf" TargetMode="External"/><Relationship Id="rId92" Type="http://schemas.openxmlformats.org/officeDocument/2006/relationships/hyperlink" Target="https://www.nia.nih.gov/sites/default/files/2017-06/informed_consent_checklist_1_14_08_updated%20%281%29.doc" TargetMode="External"/><Relationship Id="rId93" Type="http://schemas.openxmlformats.org/officeDocument/2006/relationships/hyperlink" Target="https://cdn.clinicaltrials.gov/large-docs/95/NCT01873495/ICF_001.pdf" TargetMode="External"/><Relationship Id="rId94" Type="http://schemas.openxmlformats.org/officeDocument/2006/relationships/hyperlink" Target="https://www.hra.nhs.uk/documents/5771/ctimp-protocol-development-tool_Apr_2026.docx" TargetMode="External"/><Relationship Id="rId95" Type="http://schemas.openxmlformats.org/officeDocument/2006/relationships/hyperlink" Target="https://irbo.nih.gov/documents/317/2026_01_26__Model_Consent_Template_when_NIH_is_the_Lead_Site_v9.docx" TargetMode="External"/><Relationship Id="rId96" Type="http://schemas.openxmlformats.org/officeDocument/2006/relationships/hyperlink" Target="https://www.nimh.nih.gov/sites/default/files/documents/funding/clinical-research/clinical-research-toolbox/documents/nimh_documentation_of_informed_consent_template_v1_july_2019.docx" TargetMode="External"/><Relationship Id="rId97" Type="http://schemas.openxmlformats.org/officeDocument/2006/relationships/hyperlink" Target="https://www.niaid.nih.gov/sites/default/files/statistical-analysis-plan.pdf" TargetMode="External"/><Relationship Id="rId98" Type="http://schemas.openxmlformats.org/officeDocument/2006/relationships/hyperlink" Target="https://www.hra.nhs.uk/documents/324/qualitative-protocol-development-tool.docx" TargetMode="External"/><Relationship Id="rId99" Type="http://schemas.openxmlformats.org/officeDocument/2006/relationships/hyperlink" Target="https://database.ich.org/sites/default/files/ICH_Step4_M11_Final_Template_2025_1119.pdf" TargetMode="External"/><Relationship Id="rId100" Type="http://schemas.openxmlformats.org/officeDocument/2006/relationships/hyperlink" Target="https://www.fda.gov/media/152143/download" TargetMode="External"/><Relationship Id="rId101" Type="http://schemas.openxmlformats.org/officeDocument/2006/relationships/hyperlink" Target="https://www.spirit-statement.org/wp-content/uploads/2013/01/SPIRIT-Figure.doc" TargetMode="External"/><Relationship Id="rId102" Type="http://schemas.openxmlformats.org/officeDocument/2006/relationships/hyperlink" Target="https://www.consort-spirit.org/item18-participanttimeline" TargetMode="External"/><Relationship Id="rId103" Type="http://schemas.openxmlformats.org/officeDocument/2006/relationships/hyperlink" Target="https://www.bumc.bu.edu/crro/files/2023/09/CRRO-Tool_Schedule-of-Events_9122023.docx" TargetMode="External"/><Relationship Id="rId104" Type="http://schemas.openxmlformats.org/officeDocument/2006/relationships/hyperlink" Target="https://www.allinahealth.org/-/media/allina-health/files/for-medical-professionals/instructions-for-the-schedule-of-events.doc" TargetMode="External"/><Relationship Id="rId105" Type="http://schemas.openxmlformats.org/officeDocument/2006/relationships/hyperlink" Target="https://www.uab.edu/ccts/images/kiosk/Simplified_clinical_trial_protocol_template.docx" TargetMode="External"/><Relationship Id="rId106" Type="http://schemas.openxmlformats.org/officeDocument/2006/relationships/hyperlink" Target="https://www.uab.edu/ccts/clinical-trials-kiosk/all-templates-and-tools" TargetMode="External"/><Relationship Id="rId107" Type="http://schemas.openxmlformats.org/officeDocument/2006/relationships/hyperlink" Target="https://pmc.ncbi.nlm.nih.gov/articles/PMC12167819/" TargetMode="External"/><Relationship Id="rId108" Type="http://schemas.openxmlformats.org/officeDocument/2006/relationships/hyperlink" Target="https://pmc.ncbi.nlm.nih.gov/articles/PMC12035670/" TargetMode="External"/><Relationship Id="rId109" Type="http://schemas.openxmlformats.org/officeDocument/2006/relationships/hyperlink" Target="https://cdn.clinicaltrials.gov/large-docs/86/NCT04671186/Prot_SAP_000.pdf" TargetMode="External"/><Relationship Id="rId110" Type="http://schemas.openxmlformats.org/officeDocument/2006/relationships/hyperlink" Target="https://theproteusconsortium.org/wp-content/uploads/2023/02/230220-SPIRIT-PRO-PROtocol-template.pdf" TargetMode="External"/><Relationship Id="rId111" Type="http://schemas.openxmlformats.org/officeDocument/2006/relationships/hyperlink" Target="https://www.transceleratebiopharmainc.com/assets/clinical-content-reuse-solutions/" TargetMode="External"/><Relationship Id="rId112" Type="http://schemas.openxmlformats.org/officeDocument/2006/relationships/hyperlink" Target="https://grants.nih.gov/policy-and-compliance/policy-topics/clinical-trials/protocol-template" TargetMode="External"/><Relationship Id="rId113" Type="http://schemas.openxmlformats.org/officeDocument/2006/relationships/hyperlink" Target="https://irb.wisc.edu/manual/investigator-manual/irb-review-requirements-and-application-types/human-research-requiring-a-protocol/protocol-templates/" TargetMode="External"/><Relationship Id="rId114" Type="http://schemas.openxmlformats.org/officeDocument/2006/relationships/hyperlink" Target="https://mrctcenter.org/resource/diversity-inclusion-and-equity-in-clinical-research-diversity-inclusion-overlay-transcelerates-common-protocol-template/" TargetMode="External"/><Relationship Id="rId115" Type="http://schemas.openxmlformats.org/officeDocument/2006/relationships/hyperlink" Target="https://www.cdisc.org/ddf" TargetMode="External"/><Relationship Id="rId116" Type="http://schemas.openxmlformats.org/officeDocument/2006/relationships/hyperlink" Target="https://www.cdisc.org/education/usdm-onboarding-package" TargetMode="External"/><Relationship Id="rId117" Type="http://schemas.openxmlformats.org/officeDocument/2006/relationships/hyperlink" Target="https://github.com/cdisc-org/usdm" TargetMode="External"/><Relationship Id="rId118" Type="http://schemas.openxmlformats.org/officeDocument/2006/relationships/hyperlink" Target="https://www.transceleratebiopharmainc.com/initiatives/digital-data-flow/" TargetMode="External"/><Relationship Id="rId119" Type="http://schemas.openxmlformats.org/officeDocument/2006/relationships/hyperlink" Target="https://www.transceleratebiopharmainc.com/initiatives/clinical-content-reuse/" TargetMode="External"/><Relationship Id="rId120" Type="http://schemas.openxmlformats.org/officeDocument/2006/relationships/hyperlink" Target="https://www.transceleratebiopharmainc.com/news-center/common-protocol-template-now-available/" TargetMode="External"/><Relationship Id="rId121" Type="http://schemas.openxmlformats.org/officeDocument/2006/relationships/hyperlink" Target="https://www.transceleratebiopharmainc.com/events/cpt-101-introduction-common-protocol-template-3/" TargetMode="External"/><Relationship Id="rId122" Type="http://schemas.openxmlformats.org/officeDocument/2006/relationships/hyperlink" Target="https://www.cdisc.org/standards/foundational/protocol" TargetMode="External"/><Relationship Id="rId123" Type="http://schemas.openxmlformats.org/officeDocument/2006/relationships/hyperlink" Target="https://www.cdisc.org/cdisc-prm-toolset-v1.0" TargetMode="External"/><Relationship Id="rId124" Type="http://schemas.openxmlformats.org/officeDocument/2006/relationships/hyperlink" Target="https://www.cdisc.org/tmf" TargetMode="External"/><Relationship Id="rId125" Type="http://schemas.openxmlformats.org/officeDocument/2006/relationships/hyperlink" Target="https://www.cdisc.org/standards/trial-master-file-reference-model" TargetMode="External"/><Relationship Id="rId126" Type="http://schemas.openxmlformats.org/officeDocument/2006/relationships/hyperlink" Target="https://pmc.ncbi.nlm.nih.gov/articles/PMC10956223/" TargetMode="External"/><Relationship Id="rId127" Type="http://schemas.openxmlformats.org/officeDocument/2006/relationships/hyperlink" Target="https://arxiv.org/pdf/2402.16406" TargetMode="External"/><Relationship Id="rId128" Type="http://schemas.openxmlformats.org/officeDocument/2006/relationships/hyperlink" Target="https://arxiv.org/pdf/2404.05044" TargetMode="External"/><Relationship Id="rId129" Type="http://schemas.openxmlformats.org/officeDocument/2006/relationships/hyperlink" Target="https://pmc.ncbi.nlm.nih.gov/articles/PMC12816432/" TargetMode="External"/><Relationship Id="rId130" Type="http://schemas.openxmlformats.org/officeDocument/2006/relationships/hyperlink" Target="https://pmc.ncbi.nlm.nih.gov/articles/PMC12522288/" TargetMode="External"/><Relationship Id="rId131" Type="http://schemas.openxmlformats.org/officeDocument/2006/relationships/hyperlink" Target="https://www.lexjansen.com/phuse-us/2025/ml/PAP_ML08.pdf" TargetMode="External"/><Relationship Id="rId132" Type="http://schemas.openxmlformats.org/officeDocument/2006/relationships/hyperlink" Target="https://www.jmir.org/2025/1/e72412" TargetMode="External"/><Relationship Id="rId133" Type="http://schemas.openxmlformats.org/officeDocument/2006/relationships/hyperlink" Target="https://alphalifesci.com/blog/blueprint-for-breakthrough-ai-driven-protocol-authoring-accelerates-phase-iii-clinical-trials" TargetMode="External"/><Relationship Id="rId134" Type="http://schemas.openxmlformats.org/officeDocument/2006/relationships/hyperlink" Target="https://www.ema.europa.eu/en/documents/scientific-guideline/reflection-paper-use-artificial-intelligence-ai-medicinal-product-lifecycle_en.pdf" TargetMode="External"/><Relationship Id="rId135" Type="http://schemas.openxmlformats.org/officeDocument/2006/relationships/hyperlink" Target="https://www.fda.gov/regulatory-information/search-fda-guidance-documents/considerations-use-artificial-intelligence-support-regulatory-decision-making-drug-and-biological" TargetMode="External"/><Relationship Id="rId136" Type="http://schemas.openxmlformats.org/officeDocument/2006/relationships/hyperlink" Target="https://www.who.int/publications/i/item/9789240029200" TargetMode="External"/><Relationship Id="rId137" Type="http://schemas.openxmlformats.org/officeDocument/2006/relationships/hyperlink" Target="https://www.fda.gov/medical-devices/software-medical-device-samd/good-machine-learning-practice-medical-device-development-guiding-principles" TargetMode="External"/><Relationship Id="rId138" Type="http://schemas.openxmlformats.org/officeDocument/2006/relationships/hyperlink" Target="https://iris.who.int/bitstream/handle/10665/341996/9789240029200-eng.pdf" TargetMode="External"/><Relationship Id="rId139" Type="http://schemas.openxmlformats.org/officeDocument/2006/relationships/hyperlink" Target="https://iris.who.int/bitstream/handle/10665/375579/9789240084759-eng.pdf" TargetMode="External"/><Relationship Id="rId140" Type="http://schemas.openxmlformats.org/officeDocument/2006/relationships/hyperlink" Target="https://assets-eu.researchsquare.com/files/rs-3168679/v1/f724a62e-b5ca-4d1e-9f95-5d005e9350c8.pdf?c=1710169728" TargetMode="External"/><Relationship Id="rId141" Type="http://schemas.openxmlformats.org/officeDocument/2006/relationships/hyperlink" Target="https://www.cnppa.org/Public/editor/attached/file/20220624/20220624044825_55450.pdf" TargetMode="External"/><Relationship Id="rId142" Type="http://schemas.openxmlformats.org/officeDocument/2006/relationships/hyperlink" Target="https://www.fda.gov/media/190192/download" TargetMode="External"/><Relationship Id="rId143" Type="http://schemas.openxmlformats.org/officeDocument/2006/relationships/hyperlink" Target="https://www.appliedclinicaltrialsonline.com/view/multidisciplinary-approach-protocol-writing" TargetMode="External"/><Relationship Id="rId144" Type="http://schemas.openxmlformats.org/officeDocument/2006/relationships/hyperlink" Target="https://www.iconplc.com/insights/blog/2025/04/09/controlling-complexity-regulator-ready-protocol" TargetMode="External"/><Relationship Id="rId145" Type="http://schemas.openxmlformats.org/officeDocument/2006/relationships/hyperlink" Target="https://www.appliedclinicaltrialsonline.com/view/shining-a-light-on-the-inefficiencies-in-amendment-implementation" TargetMode="External"/><Relationship Id="rId146" Type="http://schemas.openxmlformats.org/officeDocument/2006/relationships/hyperlink" Target="https://preludeedc.com/resource/cost-of-protocol-amendments-phase-1/" TargetMode="External"/><Relationship Id="rId147" Type="http://schemas.openxmlformats.org/officeDocument/2006/relationships/hyperlink" Target="https://docuvera.com/blog/structured-content-for-medical-writers/" TargetMode="External"/><Relationship Id="rId148" Type="http://schemas.openxmlformats.org/officeDocument/2006/relationships/hyperlink" Target="https://echo360.com/articles/structured-content-authoring-pharma-tools/" TargetMode="External"/><Relationship Id="rId149" Type="http://schemas.openxmlformats.org/officeDocument/2006/relationships/hyperlink" Target="https://www.deloitte.com/us/en/industries/life-sciences-health-care/articles/gen-ai-and-medical-writing.html" TargetMode="External"/><Relationship Id="rId150" Type="http://schemas.openxmlformats.org/officeDocument/2006/relationships/hyperlink" Target="https://alphalifesci.com/products/auroraprime-rma/medical-writing" TargetMode="External"/><Relationship Id="rId151" Type="http://schemas.openxmlformats.org/officeDocument/2006/relationships/hyperlink" Target="https://pmc.ncbi.nlm.nih.gov/articles/PMC5198475/" TargetMode="External"/><Relationship Id="rId152" Type="http://schemas.openxmlformats.org/officeDocument/2006/relationships/hyperlink" Target="https://www.quanticate.com/clinical-trial-protocol-development" TargetMode="External"/><Relationship Id="rId153" Type="http://schemas.openxmlformats.org/officeDocument/2006/relationships/hyperlink" Target="https://pmc.ncbi.nlm.nih.gov/articles/PMC12579691/" TargetMode="External"/><Relationship Id="rId154" Type="http://schemas.openxmlformats.org/officeDocument/2006/relationships/hyperlink" Target="https://www.iqvia.com/blogs/2026/01/assessing-protocol-complexity-and-its-impact-on-trial-outcomes" TargetMode="External"/><Relationship Id="rId155" Type="http://schemas.openxmlformats.org/officeDocument/2006/relationships/hyperlink" Target="https://www.precisionformedicine.com/blog/the-amendment-trap-why-76-of-clinical-trials-face-six-figure-protocol-changes" TargetMode="External"/><Relationship Id="rId156" Type="http://schemas.openxmlformats.org/officeDocument/2006/relationships/hyperlink" Target="https://clinicalresearch.io/blog/the-rising-complexity-of-study-design-what-it-means-for-clinical-research-sites/" TargetMode="External"/><Relationship Id="rId157" Type="http://schemas.openxmlformats.org/officeDocument/2006/relationships/hyperlink" Target="https://www.veeva.com/products/clinical-operations/" TargetMode="External"/><Relationship Id="rId158" Type="http://schemas.openxmlformats.org/officeDocument/2006/relationships/hyperlink" Target="https://www.veeva.com/products/veeva-clinical-platform/" TargetMode="External"/><Relationship Id="rId159" Type="http://schemas.openxmlformats.org/officeDocument/2006/relationships/hyperlink" Target="https://clinical.veevavault.help/en/lr/899718/" TargetMode="External"/><Relationship Id="rId160" Type="http://schemas.openxmlformats.org/officeDocument/2006/relationships/hyperlink" Target="https://www.oracle.com/a/ocom/docs/industries/life-sciences/clinical-one-overview-solution-brief.pdf" TargetMode="External"/><Relationship Id="rId161" Type="http://schemas.openxmlformats.org/officeDocument/2006/relationships/hyperlink" Target="https://www.oracle.com/ae/life-sciences/clinical-trial-data-collection/" TargetMode="External"/><Relationship Id="rId162" Type="http://schemas.openxmlformats.org/officeDocument/2006/relationships/hyperlink" Target="https://docs.oracle.com/cd/G26828_01/books/CTMS/c-Applying-Protocol-Amendments-to-Sites-and-Clinical-Subjects--ad1003746.html" TargetMode="External"/><Relationship Id="rId163" Type="http://schemas.openxmlformats.org/officeDocument/2006/relationships/hyperlink" Target="https://www.medidata.com/en/clinical-trial-products/medidata-ai/" TargetMode="External"/><Relationship Id="rId164" Type="http://schemas.openxmlformats.org/officeDocument/2006/relationships/hyperlink" Target="https://www.medidata.com/en/data-experience/clinical-data-studio/" TargetMode="External"/><Relationship Id="rId165" Type="http://schemas.openxmlformats.org/officeDocument/2006/relationships/hyperlink" Target="https://www.medidata.com/en/life-science-resources/medidata-blog/ai-study-build/" TargetMode="External"/><Relationship Id="rId166" Type="http://schemas.openxmlformats.org/officeDocument/2006/relationships/hyperlink" Target="https://www.3ds.com/newsroom/press-releases/medidata-launches-clinical-data-studio-leveraging-ai-modernize-data-experience-clinical-trials" TargetMode="External"/><Relationship Id="rId167" Type="http://schemas.openxmlformats.org/officeDocument/2006/relationships/hyperlink" Target="https://kitsa.ai/resources/ai-powered-documentation" TargetMode="External"/><Relationship Id="rId168" Type="http://schemas.openxmlformats.org/officeDocument/2006/relationships/hyperlink" Target="https://www.techmahindra.com/insights/news/kitsa-and-tech-mahindra-collaborate-for-next-gen-pharma-solutions/" TargetMode="External"/><Relationship Id="rId169" Type="http://schemas.openxmlformats.org/officeDocument/2006/relationships/hyperlink" Target="https://www.clinion.com/insight/simplifying-clinical-trial-protocol-with-genai/" TargetMode="External"/><Relationship Id="rId170" Type="http://schemas.openxmlformats.org/officeDocument/2006/relationships/hyperlink" Target="https://kitsa.ai/blog" TargetMode="External"/><Relationship Id="rId171" Type="http://schemas.openxmlformats.org/officeDocument/2006/relationships/hyperlink" Target="https://www.caralifesciences.generiscorp.com/clinical-solutions/medical-writing-automatic-clinical-protocol-generation/" TargetMode="External"/><Relationship Id="rId172" Type="http://schemas.openxmlformats.org/officeDocument/2006/relationships/hyperlink" Target="https://trialassure.com/" TargetMode="External"/><Relationship Id="rId173" Type="http://schemas.openxmlformats.org/officeDocument/2006/relationships/hyperlink" Target="https://trialassure.com/software/anonymize/" TargetMode="External"/><Relationship Id="rId174" Type="http://schemas.openxmlformats.org/officeDocument/2006/relationships/hyperlink" Target="https://www.narrativa.com/protocol-clinical-trials-automation-with-ai-agents/" TargetMode="External"/><Relationship Id="rId175" Type="http://schemas.openxmlformats.org/officeDocument/2006/relationships/hyperlink" Target="https://paperguide.ai/solutions/clinical-trails/" TargetMode="External"/><Relationship Id="rId176" Type="http://schemas.openxmlformats.org/officeDocument/2006/relationships/hyperlink" Target="https://arxiv.org/abs/2404.05044" TargetMode="External"/><Relationship Id="rId177" Type="http://schemas.openxmlformats.org/officeDocument/2006/relationships/hyperlink" Target="https://www.certara.com/coauthor/" TargetMode="External"/><Relationship Id="rId178" Type="http://schemas.openxmlformats.org/officeDocument/2006/relationships/hyperlink" Target="https://www.certara.com/announcement/certara-launches-coauthor-a-regulatory-and-medical-writing-tool/" TargetMode="External"/><Relationship Id="rId179" Type="http://schemas.openxmlformats.org/officeDocument/2006/relationships/hyperlink" Target="https://www.certara.com/fact-sheet/coauthor/" TargetMode="External"/><Relationship Id="rId180" Type="http://schemas.openxmlformats.org/officeDocument/2006/relationships/hyperlink" Target="https://yseop.com/medical-writing-automation/" TargetMode="External"/><Relationship Id="rId181" Type="http://schemas.openxmlformats.org/officeDocument/2006/relationships/hyperlink" Target="https://yseop.com/solutions/life-sciences/clinical/" TargetMode="External"/><Relationship Id="rId182" Type="http://schemas.openxmlformats.org/officeDocument/2006/relationships/hyperlink" Target="https://yseop.com/automate-medical-regulatory-authoringworkflows/" TargetMode="External"/><Relationship Id="rId183" Type="http://schemas.openxmlformats.org/officeDocument/2006/relationships/hyperlink" Target="https://www.montrium.com/etmf-connect-features" TargetMode="External"/><Relationship Id="rId184" Type="http://schemas.openxmlformats.org/officeDocument/2006/relationships/hyperlink" Target="https://www.montrium.com/" TargetMode="External"/><Relationship Id="rId185" Type="http://schemas.openxmlformats.org/officeDocument/2006/relationships/hyperlink" Target="https://www.mastercontrol.com/au/clinical/etmf-software-systems/" TargetMode="External"/><Relationship Id="rId186" Type="http://schemas.openxmlformats.org/officeDocument/2006/relationships/hyperlink" Target="https://www.mastercontrol.com/resource-center/documents/mastercontrol-etmf-manager/" TargetMode="External"/><Relationship Id="rId187" Type="http://schemas.openxmlformats.org/officeDocument/2006/relationships/hyperlink" Target="https://humantrue.com/quality" TargetMode="External"/><Relationship Id="rId188" Type="http://schemas.openxmlformats.org/officeDocument/2006/relationships/hyperlink" Target="https://www.cori-clinical.com/" TargetMode="External"/><Relationship Id="rId189" Type="http://schemas.openxmlformats.org/officeDocument/2006/relationships/hyperlink" Target="https://www.cori-clinical.com/assist" TargetMode="External"/><Relationship Id="rId190" Type="http://schemas.openxmlformats.org/officeDocument/2006/relationships/hyperlink" Target="https://www.cori-clinical.com/review" TargetMode="External"/><Relationship Id="rId191" Type="http://schemas.openxmlformats.org/officeDocument/2006/relationships/hyperlink" Target="https://clinials.com/" TargetMode="External"/><Relationship Id="rId192" Type="http://schemas.openxmlformats.org/officeDocument/2006/relationships/hyperlink" Target="https://clinials.com/about-us" TargetMode="External"/><Relationship Id="rId193" Type="http://schemas.openxmlformats.org/officeDocument/2006/relationships/hyperlink" Target="https://cn.taimei.com/index/product/id/41" TargetMode="External"/><Relationship Id="rId194" Type="http://schemas.openxmlformats.org/officeDocument/2006/relationships/hyperlink" Target="https://cn.taimei.com/cn/6466" TargetMode="External"/><Relationship Id="rId195" Type="http://schemas.openxmlformats.org/officeDocument/2006/relationships/hyperlink" Target="https://evinova.com/sda" TargetMode="External"/><Relationship Id="rId196" Type="http://schemas.openxmlformats.org/officeDocument/2006/relationships/hyperlink" Target="https://www.iqvia.com/solutions/research-and-development/consulting/protocol-design-optimization" TargetMode="External"/><Relationship Id="rId197" Type="http://schemas.openxmlformats.org/officeDocument/2006/relationships/hyperlink" Target="https://www.medidata.com/en/study-experience/protocol-optimization/" TargetMode="External"/><Relationship Id="rId198" Type="http://schemas.openxmlformats.org/officeDocument/2006/relationships/hyperlink" Target="https://www.medidata.com/en/study-experience/clinical-trial-analytics/" TargetMode="External"/><Relationship Id="rId199" Type="http://schemas.openxmlformats.org/officeDocument/2006/relationships/hyperlink" Target="https://aily.feishu.cn/hc/1u7kleqg/4q7o7as7" TargetMode="External"/><Relationship Id="rId200" Type="http://schemas.openxmlformats.org/officeDocument/2006/relationships/hyperlink" Target="https://www.feishu.cn/hc/en-US/articles/790732948604-get-started-with-feishu-aily" TargetMode="External"/><Relationship Id="rId201" Type="http://schemas.openxmlformats.org/officeDocument/2006/relationships/hyperlink" Target="https://www.feishu.cn/hc/zh-CN/articles/790732948604-%E5%BF%AB%E9%80%9F%E4%BA%86%E8%A7%A3%E9%A3%9E%E4%B9%A6-aily" TargetMode="External"/><Relationship Id="rId202" Type="http://schemas.openxmlformats.org/officeDocument/2006/relationships/hyperlink" Target="https://www.feishu.cn/hc/en-US/articles/643175485940-use-the-ai-agent-node-in-workflow" TargetMode="External"/><Relationship Id="rId203" Type="http://schemas.openxmlformats.org/officeDocument/2006/relationships/hyperlink" Target="https://www.feishu.cn/content/3d5z9ttt" TargetMode="External"/><Relationship Id="rId204" Type="http://schemas.openxmlformats.org/officeDocument/2006/relationships/hyperlink" Target="https://www.feishu.cn/content/kdvbmrpn" TargetMode="External"/><Relationship Id="rId205" Type="http://schemas.openxmlformats.org/officeDocument/2006/relationships/hyperlink" Target="https://www.feishu.cn/hc/en-US/articles/902812682257-use-ai-generated-text-in-workflow-and-automations" TargetMode="External"/><Relationship Id="rId206" Type="http://schemas.openxmlformats.org/officeDocument/2006/relationships/hyperlink" Target="https://www.feishu.cn/product/wiki" TargetMode="External"/><Relationship Id="rId207" Type="http://schemas.openxmlformats.org/officeDocument/2006/relationships/hyperlink" Target="https://www.feishu.cn/hc/en-US/articles/317606642838-use-ai-to-build-workflows-in-base" TargetMode="External"/><Relationship Id="rId208" Type="http://schemas.openxmlformats.org/officeDocument/2006/relationships/hyperlink" Target="https://www.feishu.cn/hc/en-US/articles/629644238181-overview-of-feishu-ai-plans-and-ai-quota-usage-r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TrialCompiler 项目完整参考文献</dc:title>
  <dc:subject>项目提交统一参考文献表</dc:subject>
  <dc:creator>TrialCompiler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