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MUHAMMAD AYAAN ALI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2B4AC4"/>
          <w:sz w:val="28"/>
          <w:szCs w:val="28"/>
        </w:rPr>
        <w:t xml:space="preserve">ACCA STUDENT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ayaanliquatali@gmail.com  |  +92 308-2211141  |  Karachi, Pakistan</w:t>
      </w:r>
    </w:p>
    <w:p>
      <w:pPr>
        <w:pStyle w:val="Heading2"/>
        <w:pBdr>
          <w:bottom w:val="single" w:color="2B4AC4" w:sz="8" w:space="4"/>
        </w:pBdr>
        <w:spacing w:after="80" w:before="280"/>
      </w:pPr>
      <w:r>
        <w:t xml:space="preserve">ABOUT</w:t>
      </w:r>
      <w:r>
        <w:rPr>
          <w:rFonts w:ascii="Calibri" w:cs="Calibri" w:eastAsia="Calibri" w:hAnsi="Calibri"/>
          <w:b/>
          <w:bCs/>
          <w:color w:val="2B4AC4"/>
          <w:sz w:val="24"/>
          <w:szCs w:val="24"/>
        </w:rPr>
        <w:t xml:space="preserve">ABOUT</w:t>
      </w:r>
    </w:p>
    <w:p>
      <w:pPr>
        <w:spacing w:after="120"/>
      </w:pPr>
      <w:r>
        <w:t xml:space="preserve">ACCA Part-Qualified candidate with strong experience in financial reporting, accounting operations, and data analysis. Skilled in Excel, IFRS standards, and audit principles with hands-on experience in ERP migration and payroll management. Demonstrated ability to automate financial data processing using Python for large datasets (10,000+ records). Currently pursuing Taxation (F6) with a career focus in audit and assurance.</w:t>
      </w:r>
      <w:r>
        <w:rPr>
          <w:rFonts w:ascii="Calibri" w:cs="Calibri" w:eastAsia="Calibri" w:hAnsi="Calibri"/>
          <w:sz w:val="20"/>
          <w:szCs w:val="20"/>
        </w:rPr>
        <w:t xml:space="preserve">ACCA Part-Qualified candidate with strong experience in financial reporting, accounting operations, and data analysis. Skilled in Excel, IFRS standards, and audit principles with hands-on experience in ERP migration and payroll management. Demonstrated ability to automate financial data processing using Python for large datasets (10,000+ records). Currently pursuing Taxation (F6) with a career focus in audit and assurance.</w:t>
      </w:r>
    </w:p>
    <w:p>
      <w:pPr>
        <w:pStyle w:val="Heading2"/>
        <w:pBdr>
          <w:bottom w:val="single" w:color="2B4AC4" w:sz="8" w:space="4"/>
        </w:pBdr>
        <w:spacing w:after="80" w:before="280"/>
      </w:pPr>
      <w:r>
        <w:t xml:space="preserve">PROFESSIONAL EXPERIENCE</w:t>
      </w:r>
      <w:r>
        <w:rPr>
          <w:rFonts w:ascii="Calibri" w:cs="Calibri" w:eastAsia="Calibri" w:hAnsi="Calibri"/>
          <w:b/>
          <w:bCs/>
          <w:color w:val="2B4AC4"/>
          <w:sz w:val="24"/>
          <w:szCs w:val="24"/>
        </w:rPr>
        <w:t xml:space="preserve">PROFESSIONAL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Accounts Executive</w:t>
      </w:r>
      <w:r>
        <w:rPr>
          <w:rFonts w:ascii="Calibri" w:cs="Calibri" w:eastAsia="Calibri" w:hAnsi="Calibri"/>
          <w:color w:val="2B4AC4"/>
          <w:sz w:val="22"/>
          <w:szCs w:val="22"/>
        </w:rPr>
        <w:t xml:space="preserve">  —  Leader’s Harbor School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Nov 2025 – Apr 2026</w:t>
      </w:r>
    </w:p>
    <w:p>
      <w:pPr>
        <w:spacing w:after="60"/>
      </w:pPr>
      <w:r>
        <w:t xml:space="preserve">Led ERP migration and managed financial transactions.</w:t>
      </w:r>
      <w:r>
        <w:rPr>
          <w:rFonts w:ascii="Calibri" w:cs="Calibri" w:eastAsia="Calibri" w:hAnsi="Calibri"/>
          <w:sz w:val="20"/>
          <w:szCs w:val="20"/>
        </w:rPr>
        <w:t xml:space="preserve">Led ERP migration and managed financial transactions.</w:t>
      </w:r>
    </w:p>
    <w:p>
      <w:pPr>
        <w:spacing w:after="40" w:before="40"/>
        <w:ind w:left="288"/>
      </w:pPr>
      <w:r>
        <w:t xml:space="preserve">• Led ERP migration by transferring 100% of accounting and student records from legacy systems (ESM to Schoolin, manual to Odoo)</w:t>
      </w:r>
      <w:r>
        <w:rPr>
          <w:rFonts w:ascii="Calibri" w:cs="Calibri" w:eastAsia="Calibri" w:hAnsi="Calibri"/>
          <w:sz w:val="20"/>
          <w:szCs w:val="20"/>
        </w:rPr>
        <w:t xml:space="preserve">• Led ERP migration by transferring 100% of accounting and student records from legacy systems (ESM to Schoolin, manual to Odoo)</w:t>
      </w:r>
    </w:p>
    <w:p>
      <w:pPr>
        <w:spacing w:after="40" w:before="40"/>
        <w:ind w:left="288"/>
      </w:pPr>
      <w:r>
        <w:t xml:space="preserve">• Reconciled historical financial data and ensured data accuracy during system transition</w:t>
      </w:r>
      <w:r>
        <w:rPr>
          <w:rFonts w:ascii="Calibri" w:cs="Calibri" w:eastAsia="Calibri" w:hAnsi="Calibri"/>
          <w:sz w:val="20"/>
          <w:szCs w:val="20"/>
        </w:rPr>
        <w:t xml:space="preserve">• Reconciled historical financial data and ensured data accuracy during system transition</w:t>
      </w:r>
    </w:p>
    <w:p>
      <w:pPr>
        <w:spacing w:after="40" w:before="40"/>
        <w:ind w:left="288"/>
      </w:pPr>
      <w:r>
        <w:t xml:space="preserve">• Developed financial dashboards in Excel/Google Sheets for budgeting, receivables tracking, and variance analysis</w:t>
      </w:r>
      <w:r>
        <w:rPr>
          <w:rFonts w:ascii="Calibri" w:cs="Calibri" w:eastAsia="Calibri" w:hAnsi="Calibri"/>
          <w:sz w:val="20"/>
          <w:szCs w:val="20"/>
        </w:rPr>
        <w:t xml:space="preserve">• Developed financial dashboards in Excel/Google Sheets for budgeting, receivables tracking, and variance analysis</w:t>
      </w:r>
    </w:p>
    <w:p>
      <w:pPr>
        <w:spacing w:after="40" w:before="40"/>
        <w:ind w:left="288"/>
      </w:pPr>
      <w:r>
        <w:t xml:space="preserve">• Validated accounting system accuracy through testing income, expenses, and P&amp;L statements</w:t>
      </w:r>
      <w:r>
        <w:rPr>
          <w:rFonts w:ascii="Calibri" w:cs="Calibri" w:eastAsia="Calibri" w:hAnsi="Calibri"/>
          <w:sz w:val="20"/>
          <w:szCs w:val="20"/>
        </w:rPr>
        <w:t xml:space="preserve">• Validated accounting system accuracy through testing income, expenses, and P&amp;L statements</w:t>
      </w:r>
    </w:p>
    <w:p>
      <w:pPr>
        <w:spacing w:after="40" w:before="40"/>
        <w:ind w:left="288"/>
      </w:pPr>
      <w:r>
        <w:t xml:space="preserve">• Processed monthly payroll for 30+ employees with zero errors, including deductions and bank reconciliation</w:t>
      </w:r>
      <w:r>
        <w:rPr>
          <w:rFonts w:ascii="Calibri" w:cs="Calibri" w:eastAsia="Calibri" w:hAnsi="Calibri"/>
          <w:sz w:val="20"/>
          <w:szCs w:val="20"/>
        </w:rPr>
        <w:t xml:space="preserve">• Processed monthly payroll for 30+ employees with zero errors, including deductions and bank reconciliation</w:t>
      </w:r>
    </w:p>
    <w:p>
      <w:pPr>
        <w:spacing w:after="40" w:before="40"/>
        <w:ind w:left="288"/>
      </w:pPr>
      <w:r>
        <w:t xml:space="preserve">• Managed daily cash transactions exceeding PKR 50,000 and ensured zero discrepancies</w:t>
      </w:r>
      <w:r>
        <w:rPr>
          <w:rFonts w:ascii="Calibri" w:cs="Calibri" w:eastAsia="Calibri" w:hAnsi="Calibri"/>
          <w:sz w:val="20"/>
          <w:szCs w:val="20"/>
        </w:rPr>
        <w:t xml:space="preserve">• Managed daily cash transactions exceeding PKR 50,000 and ensured zero discrepancies</w:t>
      </w:r>
    </w:p>
    <w:p>
      <w:pPr>
        <w:spacing w:after="40" w:before="40"/>
        <w:ind w:left="288"/>
      </w:pPr>
      <w:r>
        <w:t xml:space="preserve">• Implemented internal controls for petty cash and financial reporting</w:t>
      </w:r>
      <w:r>
        <w:rPr>
          <w:rFonts w:ascii="Calibri" w:cs="Calibri" w:eastAsia="Calibri" w:hAnsi="Calibri"/>
          <w:sz w:val="20"/>
          <w:szCs w:val="20"/>
        </w:rPr>
        <w:t xml:space="preserve">• Implemented internal controls for petty cash and financial reporting</w:t>
      </w:r>
    </w:p>
    <w:p>
      <w:pPr>
        <w:pStyle w:val="Heading2"/>
        <w:pBdr>
          <w:bottom w:val="single" w:color="2B4AC4" w:sz="8" w:space="4"/>
        </w:pBdr>
        <w:spacing w:after="80" w:before="280"/>
      </w:pPr>
      <w:r>
        <w:t xml:space="preserve">EDUCATION</w:t>
      </w:r>
      <w:r>
        <w:rPr>
          <w:rFonts w:ascii="Calibri" w:cs="Calibri" w:eastAsia="Calibri" w:hAnsi="Calibri"/>
          <w:b/>
          <w:bCs/>
          <w:color w:val="2B4AC4"/>
          <w:sz w:val="24"/>
          <w:szCs w:val="24"/>
        </w:rPr>
        <w:t xml:space="preserve">EDUCATION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Part-Qualified (Applied Skills Level) in Accounting</w:t>
      </w:r>
      <w:r>
        <w:rPr>
          <w:rFonts w:ascii="Calibri" w:cs="Calibri" w:eastAsia="Calibri" w:hAnsi="Calibri"/>
          <w:color w:val="2B4AC4"/>
          <w:sz w:val="22"/>
          <w:szCs w:val="22"/>
        </w:rPr>
        <w:t xml:space="preserve">  —  ACCA (Association of Chartered Certified Accountants)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Aug 2024 – Aug 2027  |  Grade: null</w:t>
      </w:r>
    </w:p>
    <w:p>
      <w:pPr>
        <w:spacing w:after="60"/>
      </w:pPr>
      <w: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null</w:t>
      </w:r>
    </w:p>
    <w:p>
      <w:pPr>
        <w:spacing w:after="40" w:before="40"/>
        <w:ind w:left="288"/>
      </w:pPr>
      <w:r>
        <w:t xml:space="preserve">• Financial Reporting (FR): 77</w:t>
      </w:r>
      <w:r>
        <w:rPr>
          <w:rFonts w:ascii="Calibri" w:cs="Calibri" w:eastAsia="Calibri" w:hAnsi="Calibri"/>
          <w:sz w:val="20"/>
          <w:szCs w:val="20"/>
        </w:rPr>
        <w:t xml:space="preserve">• Financial Reporting (FR): 77</w:t>
      </w:r>
    </w:p>
    <w:p>
      <w:pPr>
        <w:spacing w:after="40" w:before="40"/>
        <w:ind w:left="288"/>
      </w:pPr>
      <w:r>
        <w:t xml:space="preserve">• Financial Accounting (FA): 85</w:t>
      </w:r>
      <w:r>
        <w:rPr>
          <w:rFonts w:ascii="Calibri" w:cs="Calibri" w:eastAsia="Calibri" w:hAnsi="Calibri"/>
          <w:sz w:val="20"/>
          <w:szCs w:val="20"/>
        </w:rPr>
        <w:t xml:space="preserve">• Financial Accounting (FA): 85</w:t>
      </w:r>
    </w:p>
    <w:p>
      <w:pPr>
        <w:spacing w:after="40" w:before="40"/>
        <w:ind w:left="288"/>
      </w:pPr>
      <w:r>
        <w:t xml:space="preserve">• Management Accounting (MA): 71</w:t>
      </w:r>
      <w:r>
        <w:rPr>
          <w:rFonts w:ascii="Calibri" w:cs="Calibri" w:eastAsia="Calibri" w:hAnsi="Calibri"/>
          <w:sz w:val="20"/>
          <w:szCs w:val="20"/>
        </w:rPr>
        <w:t xml:space="preserve">• Management Accounting (MA): 71</w:t>
      </w:r>
    </w:p>
    <w:p>
      <w:pPr>
        <w:spacing w:after="40" w:before="40"/>
        <w:ind w:left="288"/>
      </w:pPr>
      <w:r>
        <w:t xml:space="preserve">• Business Technology (BT): 64</w:t>
      </w:r>
      <w:r>
        <w:rPr>
          <w:rFonts w:ascii="Calibri" w:cs="Calibri" w:eastAsia="Calibri" w:hAnsi="Calibri"/>
          <w:sz w:val="20"/>
          <w:szCs w:val="20"/>
        </w:rPr>
        <w:t xml:space="preserve">• Business Technology (BT): 64</w:t>
      </w:r>
    </w:p>
    <w:p>
      <w:pPr>
        <w:spacing w:after="40" w:before="40"/>
        <w:ind w:left="288"/>
      </w:pPr>
      <w:r>
        <w:t xml:space="preserve">• Audit and Assurance (AA): 73</w:t>
      </w:r>
      <w:r>
        <w:rPr>
          <w:rFonts w:ascii="Calibri" w:cs="Calibri" w:eastAsia="Calibri" w:hAnsi="Calibri"/>
          <w:sz w:val="20"/>
          <w:szCs w:val="20"/>
        </w:rPr>
        <w:t xml:space="preserve">• Audit and Assurance (AA): 73</w:t>
      </w:r>
    </w:p>
    <w:p>
      <w:pPr>
        <w:spacing w:after="40" w:before="40"/>
        <w:ind w:left="288"/>
      </w:pPr>
      <w:r>
        <w:t xml:space="preserve">• Current: Taxation (F6)</w:t>
      </w:r>
      <w:r>
        <w:rPr>
          <w:rFonts w:ascii="Calibri" w:cs="Calibri" w:eastAsia="Calibri" w:hAnsi="Calibri"/>
          <w:sz w:val="20"/>
          <w:szCs w:val="20"/>
        </w:rPr>
        <w:t xml:space="preserve">• Current: Taxation (F6)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Intermediate in HSSC</w:t>
      </w:r>
      <w:r>
        <w:rPr>
          <w:rFonts w:ascii="Calibri" w:cs="Calibri" w:eastAsia="Calibri" w:hAnsi="Calibri"/>
          <w:color w:val="2B4AC4"/>
          <w:sz w:val="22"/>
          <w:szCs w:val="22"/>
        </w:rPr>
        <w:t xml:space="preserve">  —  Bahria College Karachi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2022 – 2024  |  Grade: A</w:t>
      </w:r>
    </w:p>
    <w:p>
      <w:pPr>
        <w:spacing w:after="60"/>
      </w:pPr>
      <w: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null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Matriculation in SSC</w:t>
      </w:r>
      <w:r>
        <w:rPr>
          <w:rFonts w:ascii="Calibri" w:cs="Calibri" w:eastAsia="Calibri" w:hAnsi="Calibri"/>
          <w:color w:val="2B4AC4"/>
          <w:sz w:val="22"/>
          <w:szCs w:val="22"/>
        </w:rPr>
        <w:t xml:space="preserve">  —  Bahria College Karachi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Completed 2022 – null  |  Grade: A1</w:t>
      </w:r>
    </w:p>
    <w:p>
      <w:pPr>
        <w:spacing w:after="60"/>
      </w:pPr>
      <w: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null</w:t>
      </w:r>
    </w:p>
    <w:p>
      <w:pPr>
        <w:pStyle w:val="Heading2"/>
        <w:pBdr>
          <w:bottom w:val="single" w:color="2B4AC4" w:sz="8" w:space="4"/>
        </w:pBdr>
        <w:spacing w:after="80" w:before="280"/>
      </w:pPr>
      <w:r>
        <w:t xml:space="preserve">SKILLS</w:t>
      </w:r>
      <w:r>
        <w:rPr>
          <w:rFonts w:ascii="Calibri" w:cs="Calibri" w:eastAsia="Calibri" w:hAnsi="Calibri"/>
          <w:b/>
          <w:bCs/>
          <w:color w:val="2B4AC4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Accounting &amp; Finance: </w:t>
      </w:r>
      <w:r>
        <w:rPr>
          <w:rFonts w:ascii="Calibri" w:cs="Calibri" w:eastAsia="Calibri" w:hAnsi="Calibri"/>
          <w:sz w:val="20"/>
          <w:szCs w:val="20"/>
        </w:rPr>
        <w:t xml:space="preserve">Financial Reporting, Bank Reconciliation (Advanced), Payroll Management, Internal Controls Testing, Budgeting &amp; Variance Analysis, IFRS &amp; IAS Standards, Double-Entry Bookkeeping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Analysis &amp; Tools: </w:t>
      </w:r>
      <w:r>
        <w:rPr>
          <w:rFonts w:ascii="Calibri" w:cs="Calibri" w:eastAsia="Calibri" w:hAnsi="Calibri"/>
          <w:sz w:val="20"/>
          <w:szCs w:val="20"/>
        </w:rPr>
        <w:t xml:space="preserve">Microsoft Excel (Advanced), Google Sheets, Data Visualization &amp; Dashboards, Data Cleaning &amp; Reconstruction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Accounting Systems: </w:t>
      </w:r>
      <w:r>
        <w:rPr>
          <w:rFonts w:ascii="Calibri" w:cs="Calibri" w:eastAsia="Calibri" w:hAnsi="Calibri"/>
          <w:sz w:val="20"/>
          <w:szCs w:val="20"/>
        </w:rPr>
        <w:t xml:space="preserve">Odoo ERP, System Migration &amp; Validation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&amp; Automation: </w:t>
      </w:r>
      <w:r>
        <w:rPr>
          <w:rFonts w:ascii="Calibri" w:cs="Calibri" w:eastAsia="Calibri" w:hAnsi="Calibri"/>
          <w:sz w:val="20"/>
          <w:szCs w:val="20"/>
        </w:rPr>
        <w:t xml:space="preserve">Python (Pandas), Data Analysis Scripts, Financial Data Automation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Audit &amp; Assurance: </w:t>
      </w:r>
      <w:r>
        <w:rPr>
          <w:rFonts w:ascii="Calibri" w:cs="Calibri" w:eastAsia="Calibri" w:hAnsi="Calibri"/>
          <w:sz w:val="20"/>
          <w:szCs w:val="20"/>
        </w:rPr>
        <w:t xml:space="preserve">Internal Controls, Risk Assessment, ISA Framework Knowledge</w:t>
      </w:r>
    </w:p>
    <w:p>
      <w:pPr>
        <w:pStyle w:val="Heading2"/>
        <w:pBdr>
          <w:bottom w:val="single" w:color="2B4AC4" w:sz="8" w:space="4"/>
        </w:pBdr>
        <w:spacing w:after="80" w:before="280"/>
      </w:pPr>
      <w:r>
        <w:t xml:space="preserve">CERTIFICATIONS</w:t>
      </w:r>
      <w:r>
        <w:rPr>
          <w:rFonts w:ascii="Calibri" w:cs="Calibri" w:eastAsia="Calibri" w:hAnsi="Calibri"/>
          <w:b/>
          <w:bCs/>
          <w:color w:val="2B4AC4"/>
          <w:sz w:val="24"/>
          <w:szCs w:val="24"/>
        </w:rPr>
        <w:t xml:space="preserve">CERTIFICATIONS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ACCA Diploma in Accounting and Business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ACCA  |  null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Financial Accounting (FFA)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ACCA  |  null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Development Certification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null  |  null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2026-05-02T19:02:11.893Z</dcterms:created>
  <dcterms:modified xsi:type="dcterms:W3CDTF">2026-05-02T19:02:11.893Z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