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Начни экономить до 40% топлива уже сейчас!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Магнитное устройство для экономии топлива Free Fuel активирует реструктуризацию подачи топлива в двигатель, благодаря чему происходит расщепление углеводородной цепи на более мелкие составляющие, результатом этого процесса является более полное сгорание топлива в двигателе.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Преимущества: иконки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http://iconbird.com/search/?page=3&amp;q=iconset:Beautiful+Flat+Icons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Сокращение расхода топлива от 10% до 40%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http://iconbird.com/view/44053_iconki_grafik_statistika_tendentsii_trends</w:t>
        </w:r>
      </w:hyperlink>
      <w:r w:rsidDel="00000000" w:rsidR="00000000" w:rsidRPr="00000000">
        <w:rPr>
          <w:rtl w:val="0"/>
        </w:rPr>
        <w:t xml:space="preserve"> или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http://iconbird.com/view/44064_iconki_umenshit_zum_lupa_zoomout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Увеличивает мощность двигателя от 3 до 7%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66925" cy="17811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Снижает выхлоп СО и СН до 50%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http://iconbird.com/view/43765_iconki_mir_internet_planeta_globe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Предотвращает появление накипи и коррозию двигателя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809750" cy="15811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Увеличивает срок службы двигателя!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http://iconbird.com/view/43868_iconki_strelka_windy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Как работает работает магнит?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топливе образуются сгустки молекул углеводорода, которые не могут сгореть полностью. Магниты устройства (которые, кстати, не требуют электропитания) разбивают эти сгустки, что позволяет молекулам кислорода лучше смешиваться с молекулами топлива, из-за чего оно лучше и сгорает. Вот вам и экономия.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Сферы применения устройства: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Легковые авто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Автобусы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Грузовые машины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Скутеры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Мотоциклы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Газовые баллоны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Локомотивы/поезда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Строительные машины</w:t>
        <w:br w:type="textWrapping"/>
        <w:t xml:space="preserve">Иконки: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http://www.pixelbox.ru/blog/ikonki/1018.html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20" w:before="120" w:lineRule="auto"/>
        <w:ind w:left="720" w:hanging="360"/>
        <w:contextualSpacing w:val="1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Необходимое количество активаторов топлива для установки: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мотоцикл устанавливается 1-2 активатора.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двигатели объемом 0.8 л – 1.4 л устанавливаются 2 активатора.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двигатели объемом 1.5 л – 1.8 л устанавливаются 3 активатора.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двигатели объемом 1.8 л – 3.0 л устанавливаются 4 активатора.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двигатели объемом 3.0 л – 4.0 л устанавливаются 5 активаторов.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двигатели объемом 4.0 л – 5.0 л устанавливаются 6 активаторов.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12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На двигатели объемом &gt; 5.0 л устанавливаются от 6 до 8 активаторов.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6. В комплект входит: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 активатор и хомутики для крепления.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7. Как сделать заказ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8. Бланк заказа большой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9. Отзывы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iconbird.com/view/43868_iconki_strelka_windy" TargetMode="External"/><Relationship Id="rId10" Type="http://schemas.openxmlformats.org/officeDocument/2006/relationships/image" Target="media/image01.png"/><Relationship Id="rId12" Type="http://schemas.openxmlformats.org/officeDocument/2006/relationships/hyperlink" Target="http://www.pixelbox.ru/blog/ikonki/1018.html" TargetMode="External"/><Relationship Id="rId9" Type="http://schemas.openxmlformats.org/officeDocument/2006/relationships/hyperlink" Target="http://iconbird.com/view/43765_iconki_mir_internet_planeta_globe" TargetMode="External"/><Relationship Id="rId5" Type="http://schemas.openxmlformats.org/officeDocument/2006/relationships/hyperlink" Target="http://iconbird.com/search/?page=3&amp;q=iconset:Beautiful+Flat+Icons" TargetMode="External"/><Relationship Id="rId6" Type="http://schemas.openxmlformats.org/officeDocument/2006/relationships/hyperlink" Target="http://iconbird.com/view/44053_iconki_grafik_statistika_tendentsii_trends" TargetMode="External"/><Relationship Id="rId7" Type="http://schemas.openxmlformats.org/officeDocument/2006/relationships/hyperlink" Target="http://iconbird.com/view/44064_iconki_umenshit_zum_lupa_zoomout" TargetMode="External"/><Relationship Id="rId8" Type="http://schemas.openxmlformats.org/officeDocument/2006/relationships/image" Target="media/image03.png"/></Relationships>
</file>