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PingFang SC"/>
          <w:b/>
          <w:color w:val="2F5D97"/>
          <w:sz w:val="44"/>
        </w:rPr>
        <w:t>强关联材料多尺度计算 KMC 测试文档</w:t>
      </w:r>
    </w:p>
    <w:p>
      <w:pPr>
        <w:spacing w:after="240"/>
      </w:pPr>
      <w:r>
        <w:rPr>
          <w:rFonts w:ascii="Calibri" w:hAnsi="Calibri" w:eastAsia="PingFang SC"/>
          <w:color w:val="5B6778"/>
          <w:sz w:val="21"/>
        </w:rPr>
        <w:t>Fe-Cu-vacancy 合金体系测试 | 结果整理版 | 2026-05-18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484"/>
        <w:gridCol w:w="2484"/>
        <w:gridCol w:w="2484"/>
        <w:gridCol w:w="2484"/>
      </w:tblGrid>
      <w:tr>
        <w:tc>
          <w:tcPr>
            <w:tcW w:type="dxa" w:w="2340"/>
            <w:shd w:fill="F7FAFD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2F5D97"/>
                <w:sz w:val="28"/>
              </w:rPr>
              <w:t>18</w:t>
            </w:r>
          </w:p>
          <w:p>
            <w:pPr>
              <w:jc w:val="center"/>
            </w:pPr>
            <w:r>
              <w:rPr>
                <w:rFonts w:ascii="Calibri" w:hAnsi="Calibri" w:eastAsia="PingFang SC"/>
                <w:color w:val="5B6778"/>
                <w:sz w:val="17"/>
              </w:rPr>
              <w:t>跨尺度组合</w:t>
            </w:r>
          </w:p>
        </w:tc>
        <w:tc>
          <w:tcPr>
            <w:tcW w:type="dxa" w:w="2340"/>
            <w:shd w:fill="F7FAFD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2F5D97"/>
                <w:sz w:val="28"/>
              </w:rPr>
              <w:t>450</w:t>
            </w:r>
          </w:p>
          <w:p>
            <w:pPr>
              <w:jc w:val="center"/>
            </w:pPr>
            <w:r>
              <w:rPr>
                <w:rFonts w:ascii="Calibri" w:hAnsi="Calibri" w:eastAsia="PingFang SC"/>
                <w:color w:val="5B6778"/>
                <w:sz w:val="17"/>
              </w:rPr>
              <w:t>逐步记录</w:t>
            </w:r>
          </w:p>
        </w:tc>
        <w:tc>
          <w:tcPr>
            <w:tcW w:type="dxa" w:w="2340"/>
            <w:shd w:fill="F7FAFD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2F5D97"/>
                <w:sz w:val="28"/>
              </w:rPr>
              <w:t>128</w:t>
            </w:r>
          </w:p>
          <w:p>
            <w:pPr>
              <w:jc w:val="center"/>
            </w:pPr>
            <w:r>
              <w:rPr>
                <w:rFonts w:ascii="Calibri" w:hAnsi="Calibri" w:eastAsia="PingFang SC"/>
                <w:color w:val="5B6778"/>
                <w:sz w:val="17"/>
              </w:rPr>
              <w:t>最大节点记录</w:t>
            </w:r>
          </w:p>
        </w:tc>
        <w:tc>
          <w:tcPr>
            <w:tcW w:type="dxa" w:w="2340"/>
            <w:shd w:fill="F7FAFD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2F5D97"/>
                <w:sz w:val="28"/>
              </w:rPr>
              <w:t>1.322x</w:t>
            </w:r>
          </w:p>
          <w:p>
            <w:pPr>
              <w:jc w:val="center"/>
            </w:pPr>
            <w:r>
              <w:rPr>
                <w:rFonts w:ascii="Calibri" w:hAnsi="Calibri" w:eastAsia="PingFang SC"/>
                <w:color w:val="5B6778"/>
                <w:sz w:val="17"/>
              </w:rPr>
              <w:t>最大 speedup</w:t>
            </w:r>
          </w:p>
        </w:tc>
      </w:tr>
    </w:tbl>
    <w:p/>
    <w:p>
      <w:pPr>
        <w:pStyle w:val="Heading1"/>
        <w:spacing w:before="160" w:after="100"/>
      </w:pPr>
      <w:r>
        <w:rPr>
          <w:rFonts w:ascii="Calibri" w:hAnsi="Calibri" w:eastAsia="PingFang SC"/>
          <w:b/>
          <w:color w:val="2F5D97"/>
          <w:sz w:val="32"/>
        </w:rPr>
        <w:t>1. 测试依据与目标</w:t>
      </w:r>
    </w:p>
    <w:p>
      <w:pPr>
        <w:spacing w:after="100" w:line="269" w:lineRule="auto"/>
      </w:pPr>
      <w:r>
        <w:rPr>
          <w:rFonts w:ascii="Calibri" w:hAnsi="Calibri" w:eastAsia="PingFang SC"/>
          <w:color w:val="1F2D3D"/>
          <w:sz w:val="21"/>
        </w:rPr>
        <w:t>本测试以 Fe-Cu-vacancy 合金体系为样例，围绕材料能量计算、跨尺度数据生成、并行扩展性记录、材料演化分析和材料设计建议形成完整测试闭环。</w:t>
      </w:r>
    </w:p>
    <w:p>
      <w:pPr>
        <w:pStyle w:val="ListBullet"/>
        <w:spacing w:after="60"/>
      </w:pPr>
      <w:r>
        <w:rPr>
          <w:rFonts w:ascii="Calibri" w:hAnsi="Calibri" w:eastAsia="PingFang SC"/>
          <w:color w:val="1F2D3D"/>
          <w:sz w:val="20"/>
        </w:rPr>
        <w:t>验证 Fe-Cu-vacancy 典型算例可以完成 KMC 初始化、能量计算、扩散率计算和逐步演化。</w:t>
      </w:r>
    </w:p>
    <w:p>
      <w:pPr>
        <w:pStyle w:val="ListBullet"/>
        <w:spacing w:after="60"/>
      </w:pPr>
      <w:r>
        <w:rPr>
          <w:rFonts w:ascii="Calibri" w:hAnsi="Calibri" w:eastAsia="PingFang SC"/>
          <w:color w:val="1F2D3D"/>
          <w:sz w:val="20"/>
        </w:rPr>
        <w:t>验证 DeepH / DeepKS 能量接口在初始化阶段输出接口能量，并保留库调用路径。</w:t>
      </w:r>
    </w:p>
    <w:p>
      <w:pPr>
        <w:pStyle w:val="ListBullet"/>
        <w:spacing w:after="60"/>
      </w:pPr>
      <w:r>
        <w:rPr>
          <w:rFonts w:ascii="Calibri" w:hAnsi="Calibri" w:eastAsia="PingFang SC"/>
          <w:color w:val="1F2D3D"/>
          <w:sz w:val="20"/>
        </w:rPr>
        <w:t>验证不同温度、不同 Cu 含量和不同 vacancy 含量条件下的跨尺度数据生成与组织结构分析。</w:t>
      </w:r>
    </w:p>
    <w:p>
      <w:pPr>
        <w:pStyle w:val="ListBullet"/>
        <w:spacing w:after="60"/>
      </w:pPr>
      <w:r>
        <w:rPr>
          <w:rFonts w:ascii="Calibri" w:hAnsi="Calibri" w:eastAsia="PingFang SC"/>
          <w:color w:val="1F2D3D"/>
          <w:sz w:val="20"/>
        </w:rPr>
        <w:t>验证优化前后运行时间、主要耗时模块、并行扩展性记录和材料设计建议均有可追溯输出。</w:t>
      </w:r>
    </w:p>
    <w:p>
      <w:pPr>
        <w:pStyle w:val="Heading1"/>
        <w:spacing w:before="160" w:after="100"/>
      </w:pPr>
      <w:r>
        <w:rPr>
          <w:rFonts w:ascii="Calibri" w:hAnsi="Calibri" w:eastAsia="PingFang SC"/>
          <w:b/>
          <w:color w:val="2F5D97"/>
          <w:sz w:val="32"/>
        </w:rPr>
        <w:t>2. 测试体系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312"/>
        <w:gridCol w:w="3312"/>
        <w:gridCol w:w="3312"/>
      </w:tblGrid>
      <w:tr>
        <w:tc>
          <w:tcPr>
            <w:tcW w:type="dxa" w:w="2100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/>
                <w:color w:val="1F2D3D"/>
                <w:sz w:val="19"/>
              </w:rPr>
              <w:t>体系</w:t>
            </w:r>
          </w:p>
        </w:tc>
        <w:tc>
          <w:tcPr>
            <w:tcW w:type="dxa" w:w="3300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/>
                <w:color w:val="1F2D3D"/>
                <w:sz w:val="19"/>
              </w:rPr>
              <w:t>测试目的</w:t>
            </w:r>
          </w:p>
        </w:tc>
        <w:tc>
          <w:tcPr>
            <w:tcW w:type="dxa" w:w="3960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/>
                <w:color w:val="1F2D3D"/>
                <w:sz w:val="19"/>
              </w:rPr>
              <w:t>输出证据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Fe 基体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建立能量与结构基准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typical_cases.json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Fe-Cu 溶质体系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检查 Cu 溶质构型与能量接口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energy_results.csv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Fe-vacancy 缺陷体系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检查 vacancy-hop KMC 演化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multiscale_dataset.csv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Fe-Cu-vacancy 复合体系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连接能量、扩散率、性能和跨尺度数据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energy_results.csv / performance_records.csv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Fe-Cu 团簇演化体系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展示 Cu 团簇组织结构变化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cu_cluster_structure.png</w:t>
            </w:r>
          </w:p>
        </w:tc>
      </w:tr>
    </w:tbl>
    <w:p/>
    <w:p>
      <w:pPr>
        <w:pStyle w:val="Heading1"/>
        <w:spacing w:before="160" w:after="100"/>
      </w:pPr>
      <w:r>
        <w:rPr>
          <w:rFonts w:ascii="Calibri" w:hAnsi="Calibri" w:eastAsia="PingFang SC"/>
          <w:b/>
          <w:color w:val="2F5D97"/>
          <w:sz w:val="32"/>
        </w:rPr>
        <w:t>3. 测试配置与设备接口</w:t>
      </w:r>
    </w:p>
    <w:p>
      <w:pPr>
        <w:spacing w:after="100" w:line="269" w:lineRule="auto"/>
      </w:pPr>
      <w:r>
        <w:rPr>
          <w:rFonts w:ascii="Calibri" w:hAnsi="Calibri" w:eastAsia="PingFang SC"/>
          <w:color w:val="1F2D3D"/>
          <w:sz w:val="21"/>
        </w:rPr>
        <w:t>本次运行设备配置为 requested=cpu，resolved=cpu，backend=cpu，status=active。脚本统一通过 --device 传入计算设备，并支持 cpu、cuda:localrank 和 sdaa:localrank。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2600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/>
                <w:color w:val="1F2D3D"/>
                <w:sz w:val="19"/>
              </w:rPr>
              <w:t>配置项</w:t>
            </w:r>
          </w:p>
        </w:tc>
        <w:tc>
          <w:tcPr>
            <w:tcW w:type="dxa" w:w="6760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/>
                <w:color w:val="1F2D3D"/>
                <w:sz w:val="19"/>
              </w:rPr>
              <w:t>取值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主执行脚本</w:t>
            </w:r>
          </w:p>
        </w:tc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run_kmc_acceptance.py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设备入口</w:t>
            </w:r>
          </w:p>
        </w:tc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--device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严格设备模式</w:t>
            </w:r>
          </w:p>
        </w:tc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--strict-device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DeepH 调用路径</w:t>
            </w:r>
          </w:p>
        </w:tc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DeepHCalculator -&gt; predict_hamiltonian -&gt; total_energy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DeepKS 调用路径</w:t>
            </w:r>
          </w:p>
        </w:tc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DeepKSCalculator -&gt; get_potential_energy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输出根目录</w:t>
            </w:r>
          </w:p>
        </w:tc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outputs/</w:t>
            </w:r>
          </w:p>
        </w:tc>
      </w:tr>
    </w:tbl>
    <w:p/>
    <w:p>
      <w:pPr>
        <w:pStyle w:val="Heading1"/>
        <w:spacing w:before="160" w:after="100"/>
      </w:pPr>
      <w:r>
        <w:rPr>
          <w:rFonts w:ascii="Calibri" w:hAnsi="Calibri" w:eastAsia="PingFang SC"/>
          <w:b/>
          <w:color w:val="2F5D97"/>
          <w:sz w:val="32"/>
        </w:rPr>
        <w:t>4. 分阶段测试完成情况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2484"/>
        <w:gridCol w:w="2484"/>
        <w:gridCol w:w="2484"/>
        <w:gridCol w:w="2484"/>
      </w:tblGrid>
      <w:tr>
        <w:tc>
          <w:tcPr>
            <w:tcW w:type="dxa" w:w="800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/>
                <w:color w:val="1F2D3D"/>
                <w:sz w:val="19"/>
              </w:rPr>
              <w:t>阶段</w:t>
            </w:r>
          </w:p>
        </w:tc>
        <w:tc>
          <w:tcPr>
            <w:tcW w:type="dxa" w:w="3500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/>
                <w:color w:val="1F2D3D"/>
                <w:sz w:val="19"/>
              </w:rPr>
              <w:t>测试内容</w:t>
            </w:r>
          </w:p>
        </w:tc>
        <w:tc>
          <w:tcPr>
            <w:tcW w:type="dxa" w:w="4160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/>
                <w:color w:val="1F2D3D"/>
                <w:sz w:val="19"/>
              </w:rPr>
              <w:t>成果形式</w:t>
            </w:r>
          </w:p>
        </w:tc>
        <w:tc>
          <w:tcPr>
            <w:tcW w:type="dxa" w:w="900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/>
                <w:color w:val="1F2D3D"/>
                <w:sz w:val="19"/>
              </w:rPr>
              <w:t>状态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1</w:t>
            </w:r>
          </w:p>
        </w:tc>
        <w:tc>
          <w:tcPr>
            <w:tcW w:type="dxa" w:w="24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Fe-Cu-vacancy 基础算例适配与能量计算流程</w:t>
            </w:r>
          </w:p>
        </w:tc>
        <w:tc>
          <w:tcPr>
            <w:tcW w:type="dxa" w:w="24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typical_cases.json; energy_results.csv</w:t>
            </w:r>
          </w:p>
        </w:tc>
        <w:tc>
          <w:tcPr>
            <w:tcW w:type="dxa" w:w="24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完成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2</w:t>
            </w:r>
          </w:p>
        </w:tc>
        <w:tc>
          <w:tcPr>
            <w:tcW w:type="dxa" w:w="24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固定 Fe-Cu-vacancy 算例性能测试与 DeepH/DeepKS 调用记录</w:t>
            </w:r>
          </w:p>
        </w:tc>
        <w:tc>
          <w:tcPr>
            <w:tcW w:type="dxa" w:w="24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performance_records.csv; module_timing_breakdown.csv; model_call_records.csv</w:t>
            </w:r>
          </w:p>
        </w:tc>
        <w:tc>
          <w:tcPr>
            <w:tcW w:type="dxa" w:w="24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完成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3</w:t>
            </w:r>
          </w:p>
        </w:tc>
        <w:tc>
          <w:tcPr>
            <w:tcW w:type="dxa" w:w="24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不同温度、成分、缺陷条件下跨尺度演化计算</w:t>
            </w:r>
          </w:p>
        </w:tc>
        <w:tc>
          <w:tcPr>
            <w:tcW w:type="dxa" w:w="24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multiscale_dataset.csv; material_evolution_curves.png; parallel_training_display.csv</w:t>
            </w:r>
          </w:p>
        </w:tc>
        <w:tc>
          <w:tcPr>
            <w:tcW w:type="dxa" w:w="24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完成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4</w:t>
            </w:r>
          </w:p>
        </w:tc>
        <w:tc>
          <w:tcPr>
            <w:tcW w:type="dxa" w:w="24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优化前后运行时间和并行效率统计</w:t>
            </w:r>
          </w:p>
        </w:tc>
        <w:tc>
          <w:tcPr>
            <w:tcW w:type="dxa" w:w="24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efficiency_comparison.csv; runtime_comparison.png</w:t>
            </w:r>
          </w:p>
        </w:tc>
        <w:tc>
          <w:tcPr>
            <w:tcW w:type="dxa" w:w="24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完成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5</w:t>
            </w:r>
          </w:p>
        </w:tc>
        <w:tc>
          <w:tcPr>
            <w:tcW w:type="dxa" w:w="24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按成分、温度和缺陷条件给出设计优化建议</w:t>
            </w:r>
          </w:p>
        </w:tc>
        <w:tc>
          <w:tcPr>
            <w:tcW w:type="dxa" w:w="24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composition_structure_trends.csv; material_design_recommendations.md</w:t>
            </w:r>
          </w:p>
        </w:tc>
        <w:tc>
          <w:tcPr>
            <w:tcW w:type="dxa" w:w="24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完成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6</w:t>
            </w:r>
          </w:p>
        </w:tc>
        <w:tc>
          <w:tcPr>
            <w:tcW w:type="dxa" w:w="24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汇总全部测试结果形成验收报告</w:t>
            </w:r>
          </w:p>
        </w:tc>
        <w:tc>
          <w:tcPr>
            <w:tcW w:type="dxa" w:w="24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acceptance_report.md; acceptance_report.docx; manifest.json</w:t>
            </w:r>
          </w:p>
        </w:tc>
        <w:tc>
          <w:tcPr>
            <w:tcW w:type="dxa" w:w="24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完成</w:t>
            </w:r>
          </w:p>
        </w:tc>
      </w:tr>
    </w:tbl>
    <w:p/>
    <w:p>
      <w:pPr>
        <w:pStyle w:val="Heading1"/>
        <w:spacing w:before="160" w:after="100"/>
      </w:pPr>
      <w:r>
        <w:rPr>
          <w:rFonts w:ascii="Calibri" w:hAnsi="Calibri" w:eastAsia="PingFang SC"/>
          <w:b/>
          <w:color w:val="2F5D97"/>
          <w:sz w:val="32"/>
        </w:rPr>
        <w:t>5. 关键结果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2700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/>
                <w:color w:val="1F2D3D"/>
                <w:sz w:val="19"/>
              </w:rPr>
              <w:t>结果项</w:t>
            </w:r>
          </w:p>
        </w:tc>
        <w:tc>
          <w:tcPr>
            <w:tcW w:type="dxa" w:w="6660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/>
                <w:color w:val="1F2D3D"/>
                <w:sz w:val="19"/>
              </w:rPr>
              <w:t>数值或结论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跨尺度组合数量</w:t>
            </w:r>
          </w:p>
        </w:tc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18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逐步 KMC 记录</w:t>
            </w:r>
          </w:p>
        </w:tc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450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能量结果行数</w:t>
            </w:r>
          </w:p>
        </w:tc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18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最终 pair energy 范围</w:t>
            </w:r>
          </w:p>
        </w:tc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-14783.031096 到 -14610.868069 eV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Cu 最大团簇范围</w:t>
            </w:r>
          </w:p>
        </w:tc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1 到 38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三种规模 speedup</w:t>
            </w:r>
          </w:p>
        </w:tc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1.229x, 1.322x, 1.186x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DeepH / DeepKS 并行扩展性记录</w:t>
            </w:r>
          </w:p>
        </w:tc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覆盖 1 到 128 节点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输出清单记录文件数</w:t>
            </w:r>
          </w:p>
        </w:tc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24（不含 manifest 自身）</w:t>
            </w:r>
          </w:p>
        </w:tc>
      </w:tr>
    </w:tbl>
    <w:p/>
    <w:p>
      <w:r>
        <w:br w:type="page"/>
      </w:r>
    </w:p>
    <w:p>
      <w:pPr>
        <w:pStyle w:val="Heading1"/>
        <w:spacing w:before="160" w:after="100"/>
      </w:pPr>
      <w:r>
        <w:rPr>
          <w:rFonts w:ascii="Calibri" w:hAnsi="Calibri" w:eastAsia="PingFang SC"/>
          <w:b/>
          <w:color w:val="2F5D97"/>
          <w:sz w:val="32"/>
        </w:rPr>
        <w:t>6. 图形结果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126480" cy="26112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l_evolution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11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PingFang SC"/>
          <w:color w:val="5B6778"/>
          <w:sz w:val="18"/>
        </w:rPr>
        <w:t>图 1  材料能量变化与 Cu 团簇演化曲线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663440" cy="39459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_cluster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945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PingFang SC"/>
          <w:color w:val="5B6778"/>
          <w:sz w:val="18"/>
        </w:rPr>
        <w:t>图 2  Cu 团簇组织结构图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9699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PingFang SC"/>
          <w:color w:val="5B6778"/>
          <w:sz w:val="18"/>
        </w:rPr>
        <w:t>图 3  优化前后运行时间对比</w:t>
      </w:r>
    </w:p>
    <w:p>
      <w:pPr>
        <w:pStyle w:val="Heading1"/>
        <w:spacing w:before="160" w:after="100"/>
      </w:pPr>
      <w:r>
        <w:rPr>
          <w:rFonts w:ascii="Calibri" w:hAnsi="Calibri" w:eastAsia="PingFang SC"/>
          <w:b/>
          <w:color w:val="2F5D97"/>
          <w:sz w:val="32"/>
        </w:rPr>
        <w:t>7. 材料设计建议</w:t>
      </w:r>
    </w:p>
    <w:p>
      <w:pPr>
        <w:pStyle w:val="ListBullet"/>
        <w:spacing w:after="60"/>
      </w:pPr>
      <w:r>
        <w:rPr>
          <w:rFonts w:ascii="Calibri" w:hAnsi="Calibri" w:eastAsia="PingFang SC"/>
          <w:color w:val="1F2D3D"/>
          <w:sz w:val="20"/>
        </w:rPr>
        <w:t>单位位点能量最低组合为 ms_000：T=300 K，Cu=0.005，V=0.001。</w:t>
      </w:r>
    </w:p>
    <w:p>
      <w:pPr>
        <w:pStyle w:val="ListBullet"/>
        <w:spacing w:after="60"/>
      </w:pPr>
      <w:r>
        <w:rPr>
          <w:rFonts w:ascii="Calibri" w:hAnsi="Calibri" w:eastAsia="PingFang SC"/>
          <w:color w:val="1F2D3D"/>
          <w:sz w:val="20"/>
        </w:rPr>
        <w:t>Cu 团簇最大组合为 ms_005：T=300 K，Cu=0.03，V=0.002，max_cluster=38。</w:t>
      </w:r>
    </w:p>
    <w:p>
      <w:pPr>
        <w:pStyle w:val="ListBullet"/>
        <w:spacing w:after="60"/>
      </w:pPr>
      <w:r>
        <w:rPr>
          <w:rFonts w:ascii="Calibri" w:hAnsi="Calibri" w:eastAsia="PingFang SC"/>
          <w:color w:val="1F2D3D"/>
          <w:sz w:val="20"/>
        </w:rPr>
        <w:t>若目标是降低能量并保持均匀固溶，建议优先采用 Fe-rich、低到中等 Cu 配方，并控制 vacancy density。</w:t>
      </w:r>
    </w:p>
    <w:p>
      <w:pPr>
        <w:pStyle w:val="ListBullet"/>
        <w:spacing w:after="60"/>
      </w:pPr>
      <w:r>
        <w:rPr>
          <w:rFonts w:ascii="Calibri" w:hAnsi="Calibri" w:eastAsia="PingFang SC"/>
          <w:color w:val="1F2D3D"/>
          <w:sz w:val="20"/>
        </w:rPr>
        <w:t>若目标是展示 Cu-rich clustering 或析出趋势，建议提高 Cu density，并在中高温条件下延长 KMC 演化步数。</w:t>
      </w:r>
    </w:p>
    <w:p>
      <w:pPr>
        <w:pStyle w:val="Heading1"/>
        <w:spacing w:before="160" w:after="100"/>
      </w:pPr>
      <w:r>
        <w:rPr>
          <w:rFonts w:ascii="Calibri" w:hAnsi="Calibri" w:eastAsia="PingFang SC"/>
          <w:b/>
          <w:color w:val="2F5D97"/>
          <w:sz w:val="32"/>
        </w:rPr>
        <w:t>8. 输出文件索引与结论</w:t>
      </w:r>
    </w:p>
    <w:p>
      <w:pPr>
        <w:spacing w:after="100" w:line="269" w:lineRule="auto"/>
      </w:pPr>
      <w:r>
        <w:rPr>
          <w:rFonts w:ascii="Calibri" w:hAnsi="Calibri" w:eastAsia="PingFang SC"/>
          <w:color w:val="1F2D3D"/>
          <w:sz w:val="21"/>
        </w:rPr>
        <w:t>本测试已形成 Fe-Cu-vacancy 体系从典型算例、能量计算、跨尺度演化、性能对比、并行扩展性记录到材料设计建议的完整 KMC 测试链路，输出覆盖方案要求的主要结果，可用于验收汇报和后续复核。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3300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/>
                <w:color w:val="1F2D3D"/>
                <w:sz w:val="19"/>
              </w:rPr>
              <w:t>文档要求</w:t>
            </w:r>
          </w:p>
        </w:tc>
        <w:tc>
          <w:tcPr>
            <w:tcW w:type="dxa" w:w="6060"/>
            <w:vAlign w:val="center"/>
            <w:shd w:fill="EEF3F8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/>
                <w:color w:val="1F2D3D"/>
                <w:sz w:val="19"/>
              </w:rPr>
              <w:t>对应输出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Fe-Cu-vacancy 典型测试算例</w:t>
            </w:r>
          </w:p>
        </w:tc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outputs/cases/typical_cases.json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能量计算结果表</w:t>
            </w:r>
          </w:p>
        </w:tc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outputs/tables/energy_results.csv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软件适配和性能测试记录</w:t>
            </w:r>
          </w:p>
        </w:tc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outputs/reports/software_adaptation_and_performance.md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跨尺度数据集</w:t>
            </w:r>
          </w:p>
        </w:tc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outputs/datasets/multiscale_dataset.csv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材料演化曲线</w:t>
            </w:r>
          </w:p>
        </w:tc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outputs/figures/material_evolution_curves.png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Cu 团簇组织结构图</w:t>
            </w:r>
          </w:p>
        </w:tc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outputs/figures/cu_cluster_structure.png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计算效率对比表</w:t>
            </w:r>
          </w:p>
        </w:tc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outputs/tables/efficiency_comparison.csv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材料设计优化建议</w:t>
            </w:r>
          </w:p>
        </w:tc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outputs/reports/material_design_recommendations.md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项目验收报告</w:t>
            </w:r>
          </w:p>
        </w:tc>
        <w:tc>
          <w:tcPr>
            <w:tcW w:type="dxa" w:w="49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outputs/reports/acceptance_report.docx</w:t>
            </w:r>
          </w:p>
        </w:tc>
      </w:tr>
    </w:tbl>
    <w:p/>
    <w:sectPr w:rsidR="00FC693F" w:rsidRPr="0006063C" w:rsidSect="00034616">
      <w:pgSz w:w="12240" w:h="15840"/>
      <w:pgMar w:top="1037" w:right="1152" w:bottom="1037" w:left="1152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