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Songti SC"/>
          <w:b/>
          <w:i w:val="0"/>
          <w:sz w:val="36"/>
        </w:rPr>
        <w:t>强关联材料多尺度计算 KMC 测试报告</w:t>
      </w:r>
    </w:p>
    <w:p>
      <w:pPr>
        <w:spacing w:before="0" w:after="280" w:line="293" w:lineRule="auto"/>
        <w:jc w:val="center"/>
      </w:pPr>
      <w:r>
        <w:rPr>
          <w:rFonts w:ascii="Times New Roman" w:hAnsi="Times New Roman" w:eastAsia="Songti SC"/>
          <w:b w:val="0"/>
          <w:i w:val="0"/>
          <w:sz w:val="24"/>
        </w:rPr>
        <w:t>Fe-Cu-vacancy 合金体系测试 | 2026-05-18</w:t>
      </w:r>
    </w:p>
    <w:p>
      <w:pPr>
        <w:pStyle w:val="Heading1"/>
        <w:spacing w:before="260" w:after="140"/>
      </w:pPr>
      <w:r>
        <w:rPr>
          <w:rFonts w:ascii="Times New Roman" w:hAnsi="Times New Roman" w:eastAsia="Songti SC"/>
          <w:b/>
          <w:i w:val="0"/>
          <w:sz w:val="30"/>
        </w:rPr>
        <w:t>一、测试目标</w:t>
      </w:r>
    </w:p>
    <w:p>
      <w:pPr>
        <w:spacing w:before="0" w:after="120" w:line="293" w:lineRule="auto"/>
      </w:pPr>
      <w:r>
        <w:rPr>
          <w:rFonts w:ascii="Times New Roman" w:hAnsi="Times New Roman" w:eastAsia="Songti SC"/>
          <w:b w:val="0"/>
          <w:i w:val="0"/>
          <w:sz w:val="22"/>
        </w:rPr>
        <w:t>围绕强关联材料多尺度计算测试任务，选取 Fe-Cu-vacancy 合金体系作为测试样例，验证 KMC 流程在材料能量计算、跨尺度数据生成、并行计算展示和材料设计建议方面的能力。</w:t>
      </w:r>
    </w:p>
    <w:p>
      <w:pPr>
        <w:spacing w:before="0" w:after="120" w:line="293" w:lineRule="auto"/>
      </w:pPr>
      <w:r>
        <w:rPr>
          <w:rFonts w:ascii="Times New Roman" w:hAnsi="Times New Roman" w:eastAsia="Songti SC"/>
          <w:b w:val="0"/>
          <w:i w:val="0"/>
          <w:sz w:val="22"/>
        </w:rPr>
        <w:t>本次测试覆盖温度 250 K, 300 K, 350 K, 400 K, 500 K, 600 K, 700 K, 800 K, 900 K, 1000 K，Cu density 0.0025, 0.005, 0.01, 0.0134, 0.02, 0.03, 0.05，vacancy density 0.0005, 0.001, 0.002, 0.003, 0.005，lattice size 8x8x8, 10x10x10, 12x12x12, 14x14x14, 16x16x16, 18x18x18, 20x20x20, 22x22x22, 24x24x24, 26x26x26。共形成 360 个 KMC 算例，其中温度/成分/缺陷组合 350 个，lattice size 扫描 10 个，每组 100 个 KMC step，逐步记录 36000 条，并行扩展性记录覆盖 1 到 1024 节点。</w:t>
      </w:r>
    </w:p>
    <w:p>
      <w:pPr>
        <w:pStyle w:val="Heading1"/>
        <w:spacing w:before="260" w:after="140"/>
      </w:pPr>
      <w:r>
        <w:rPr>
          <w:rFonts w:ascii="Times New Roman" w:hAnsi="Times New Roman" w:eastAsia="Songti SC"/>
          <w:b/>
          <w:i w:val="0"/>
          <w:sz w:val="30"/>
        </w:rPr>
        <w:t>二、测试体系</w:t>
      </w:r>
    </w:p>
    <w:p>
      <w:pPr>
        <w:spacing w:before="0" w:after="120" w:line="293" w:lineRule="auto"/>
      </w:pPr>
      <w:r>
        <w:rPr>
          <w:rFonts w:ascii="Times New Roman" w:hAnsi="Times New Roman" w:eastAsia="Songti SC"/>
          <w:b w:val="0"/>
          <w:i w:val="0"/>
          <w:sz w:val="22"/>
        </w:rPr>
        <w:t>测试体系采用 Fe-Cu-vacancy 合金体系，包括：</w:t>
      </w:r>
    </w:p>
    <w:p>
      <w:pPr>
        <w:spacing w:after="60" w:line="283" w:lineRule="auto"/>
        <w:ind w:left="403" w:hanging="403"/>
      </w:pPr>
      <w:r>
        <w:rPr>
          <w:rFonts w:ascii="Times New Roman" w:hAnsi="Times New Roman" w:eastAsia="Songti SC"/>
          <w:b w:val="0"/>
          <w:i w:val="0"/>
          <w:sz w:val="22"/>
        </w:rPr>
        <w:t>1.  Fe 基体；</w:t>
      </w:r>
    </w:p>
    <w:p>
      <w:pPr>
        <w:spacing w:after="60" w:line="283" w:lineRule="auto"/>
        <w:ind w:left="403" w:hanging="403"/>
      </w:pPr>
      <w:r>
        <w:rPr>
          <w:rFonts w:ascii="Times New Roman" w:hAnsi="Times New Roman" w:eastAsia="Songti SC"/>
          <w:b w:val="0"/>
          <w:i w:val="0"/>
          <w:sz w:val="22"/>
        </w:rPr>
        <w:t>2.  Fe-Cu 溶质体系；</w:t>
      </w:r>
    </w:p>
    <w:p>
      <w:pPr>
        <w:spacing w:after="60" w:line="283" w:lineRule="auto"/>
        <w:ind w:left="403" w:hanging="403"/>
      </w:pPr>
      <w:r>
        <w:rPr>
          <w:rFonts w:ascii="Times New Roman" w:hAnsi="Times New Roman" w:eastAsia="Songti SC"/>
          <w:b w:val="0"/>
          <w:i w:val="0"/>
          <w:sz w:val="22"/>
        </w:rPr>
        <w:t>3.  Fe-vacancy 缺陷体系；</w:t>
      </w:r>
    </w:p>
    <w:p>
      <w:pPr>
        <w:spacing w:after="60" w:line="283" w:lineRule="auto"/>
        <w:ind w:left="403" w:hanging="403"/>
      </w:pPr>
      <w:r>
        <w:rPr>
          <w:rFonts w:ascii="Times New Roman" w:hAnsi="Times New Roman" w:eastAsia="Songti SC"/>
          <w:b w:val="0"/>
          <w:i w:val="0"/>
          <w:sz w:val="22"/>
        </w:rPr>
        <w:t>4.  Fe-Cu-vacancy 复合体系；</w:t>
      </w:r>
    </w:p>
    <w:p>
      <w:pPr>
        <w:spacing w:after="60" w:line="283" w:lineRule="auto"/>
        <w:ind w:left="403" w:hanging="403"/>
      </w:pPr>
      <w:r>
        <w:rPr>
          <w:rFonts w:ascii="Times New Roman" w:hAnsi="Times New Roman" w:eastAsia="Songti SC"/>
          <w:b w:val="0"/>
          <w:i w:val="0"/>
          <w:sz w:val="22"/>
        </w:rPr>
        <w:t>5.  Fe-Cu 团簇演化体系。</w:t>
      </w:r>
    </w:p>
    <w:p>
      <w:pPr>
        <w:spacing w:before="0" w:after="120" w:line="293" w:lineRule="auto"/>
      </w:pPr>
      <w:r>
        <w:rPr>
          <w:rFonts w:ascii="Times New Roman" w:hAnsi="Times New Roman" w:eastAsia="Songti SC"/>
          <w:b w:val="0"/>
          <w:i w:val="0"/>
          <w:sz w:val="22"/>
        </w:rPr>
        <w:t>设备统一通过 --device 入口传入，当前记录为 requested=cpu，resolved=cpu，backend=cpu，status=active。DeepH 调用路径为 DeepHCalculator -&gt; predict_hamiltonian -&gt; total_energy，DeepKS 调用路径为 DeepKSCalculator -&gt; get_potential_energy。</w:t>
      </w:r>
    </w:p>
    <w:p>
      <w:r>
        <w:br w:type="page"/>
      </w:r>
    </w:p>
    <w:p>
      <w:pPr>
        <w:pStyle w:val="Heading1"/>
        <w:spacing w:before="260" w:after="140"/>
      </w:pPr>
      <w:r>
        <w:rPr>
          <w:rFonts w:ascii="Times New Roman" w:hAnsi="Times New Roman" w:eastAsia="Songti SC"/>
          <w:b/>
          <w:i w:val="0"/>
          <w:sz w:val="30"/>
        </w:rPr>
        <w:t>三、分阶段测试内容</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469"/>
        <w:gridCol w:w="2469"/>
        <w:gridCol w:w="2469"/>
        <w:gridCol w:w="2469"/>
      </w:tblGrid>
      <w:tr>
        <w:trPr>
          <w:tblHeader w:val="true"/>
          <w:cantSplit/>
        </w:trPr>
        <w:tc>
          <w:tcPr>
            <w:tcW w:type="dxa" w:w="979"/>
            <w:tcMar>
              <w:top w:w="80" w:type="dxa"/>
              <w:start w:w="90" w:type="dxa"/>
              <w:bottom w:w="80" w:type="dxa"/>
              <w:end w:w="90" w:type="dxa"/>
            </w:tcMar>
            <w:vAlign w:val="center"/>
            <w:shd w:fill="F2F2F2"/>
          </w:tcPr>
          <w:p>
            <w:pPr>
              <w:spacing w:before="0" w:after="0" w:line="259" w:lineRule="auto"/>
              <w:jc w:val="center"/>
            </w:pPr>
            <w:r/>
            <w:r>
              <w:rPr>
                <w:rFonts w:ascii="Times New Roman" w:hAnsi="Times New Roman" w:eastAsia="Songti SC"/>
                <w:b/>
                <w:i w:val="0"/>
                <w:sz w:val="16"/>
              </w:rPr>
              <w:t>阶段</w:t>
            </w:r>
          </w:p>
        </w:tc>
        <w:tc>
          <w:tcPr>
            <w:tcW w:type="dxa" w:w="3384"/>
            <w:tcMar>
              <w:top w:w="80" w:type="dxa"/>
              <w:start w:w="90" w:type="dxa"/>
              <w:bottom w:w="80" w:type="dxa"/>
              <w:end w:w="90" w:type="dxa"/>
            </w:tcMar>
            <w:vAlign w:val="center"/>
            <w:shd w:fill="F2F2F2"/>
          </w:tcPr>
          <w:p>
            <w:pPr>
              <w:spacing w:before="0" w:after="0" w:line="259" w:lineRule="auto"/>
              <w:jc w:val="center"/>
            </w:pPr>
            <w:r/>
            <w:r>
              <w:rPr>
                <w:rFonts w:ascii="Times New Roman" w:hAnsi="Times New Roman" w:eastAsia="Songti SC"/>
                <w:b/>
                <w:i w:val="0"/>
                <w:sz w:val="16"/>
              </w:rPr>
              <w:t>测试内容</w:t>
            </w:r>
          </w:p>
        </w:tc>
        <w:tc>
          <w:tcPr>
            <w:tcW w:type="dxa" w:w="3384"/>
            <w:tcMar>
              <w:top w:w="80" w:type="dxa"/>
              <w:start w:w="90" w:type="dxa"/>
              <w:bottom w:w="80" w:type="dxa"/>
              <w:end w:w="90" w:type="dxa"/>
            </w:tcMar>
            <w:vAlign w:val="center"/>
            <w:shd w:fill="F2F2F2"/>
          </w:tcPr>
          <w:p>
            <w:pPr>
              <w:spacing w:before="0" w:after="0" w:line="259" w:lineRule="auto"/>
              <w:jc w:val="center"/>
            </w:pPr>
            <w:r/>
            <w:r>
              <w:rPr>
                <w:rFonts w:ascii="Times New Roman" w:hAnsi="Times New Roman" w:eastAsia="Songti SC"/>
                <w:b/>
                <w:i w:val="0"/>
                <w:sz w:val="16"/>
              </w:rPr>
              <w:t>对应考核指标</w:t>
            </w:r>
          </w:p>
        </w:tc>
        <w:tc>
          <w:tcPr>
            <w:tcW w:type="dxa" w:w="2188"/>
            <w:tcMar>
              <w:top w:w="80" w:type="dxa"/>
              <w:start w:w="90" w:type="dxa"/>
              <w:bottom w:w="80" w:type="dxa"/>
              <w:end w:w="90" w:type="dxa"/>
            </w:tcMar>
            <w:vAlign w:val="center"/>
            <w:shd w:fill="F2F2F2"/>
          </w:tcPr>
          <w:p>
            <w:pPr>
              <w:spacing w:before="0" w:after="0" w:line="259" w:lineRule="auto"/>
              <w:jc w:val="center"/>
            </w:pPr>
            <w:r/>
            <w:r>
              <w:rPr>
                <w:rFonts w:ascii="Times New Roman" w:hAnsi="Times New Roman" w:eastAsia="Songti SC"/>
                <w:b/>
                <w:i w:val="0"/>
                <w:sz w:val="16"/>
              </w:rPr>
              <w:t>成果形式</w:t>
            </w:r>
          </w:p>
        </w:tc>
      </w:tr>
      <w:tr>
        <w:trPr>
          <w:cantSplit/>
        </w:trPr>
        <w:tc>
          <w:tcPr>
            <w:tcW w:type="dxa" w:w="979"/>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阶段 1</w:t>
            </w:r>
          </w:p>
        </w:tc>
        <w:tc>
          <w:tcPr>
            <w:tcW w:type="dxa" w:w="338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Fe-Cu-vacancy 基础算例适配与能量计算流程</w:t>
            </w:r>
          </w:p>
        </w:tc>
        <w:tc>
          <w:tcPr>
            <w:tcW w:type="dxa" w:w="338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完成多散射/DeepH 能量接口适配</w:t>
            </w:r>
          </w:p>
        </w:tc>
        <w:tc>
          <w:tcPr>
            <w:tcW w:type="dxa" w:w="2188"/>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测试算例、能量结果</w:t>
            </w:r>
          </w:p>
        </w:tc>
      </w:tr>
      <w:tr>
        <w:trPr>
          <w:cantSplit/>
        </w:trPr>
        <w:tc>
          <w:tcPr>
            <w:tcW w:type="dxa" w:w="979"/>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阶段 2</w:t>
            </w:r>
          </w:p>
        </w:tc>
        <w:tc>
          <w:tcPr>
            <w:tcW w:type="dxa" w:w="338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固定 Fe-Cu-vacancy 算例性能测试与 DeepH/DeepKS 调用记录</w:t>
            </w:r>
          </w:p>
        </w:tc>
        <w:tc>
          <w:tcPr>
            <w:tcW w:type="dxa" w:w="338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性能对比表、模型调用记录</w:t>
            </w:r>
          </w:p>
        </w:tc>
        <w:tc>
          <w:tcPr>
            <w:tcW w:type="dxa" w:w="2188"/>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性能对比表、模型调用记录</w:t>
            </w:r>
          </w:p>
        </w:tc>
      </w:tr>
      <w:tr>
        <w:trPr>
          <w:cantSplit/>
        </w:trPr>
        <w:tc>
          <w:tcPr>
            <w:tcW w:type="dxa" w:w="979"/>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阶段 3</w:t>
            </w:r>
          </w:p>
        </w:tc>
        <w:tc>
          <w:tcPr>
            <w:tcW w:type="dxa" w:w="338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不同温度、成分、缺陷、lattice size 条件下跨尺度演化计算</w:t>
            </w:r>
          </w:p>
        </w:tc>
        <w:tc>
          <w:tcPr>
            <w:tcW w:type="dxa" w:w="338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跨尺度数据集、lattice size 扫描、演化曲线、千节点并行扩展性记录</w:t>
            </w:r>
          </w:p>
        </w:tc>
        <w:tc>
          <w:tcPr>
            <w:tcW w:type="dxa" w:w="2188"/>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跨尺度数据集、演化曲线</w:t>
            </w:r>
          </w:p>
        </w:tc>
      </w:tr>
      <w:tr>
        <w:trPr>
          <w:cantSplit/>
        </w:trPr>
        <w:tc>
          <w:tcPr>
            <w:tcW w:type="dxa" w:w="979"/>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阶段 4</w:t>
            </w:r>
          </w:p>
        </w:tc>
        <w:tc>
          <w:tcPr>
            <w:tcW w:type="dxa" w:w="338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优化前后运行时间和并行效率统计</w:t>
            </w:r>
          </w:p>
        </w:tc>
        <w:tc>
          <w:tcPr>
            <w:tcW w:type="dxa" w:w="338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效率对比表、运行时间曲线</w:t>
            </w:r>
          </w:p>
        </w:tc>
        <w:tc>
          <w:tcPr>
            <w:tcW w:type="dxa" w:w="2188"/>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效率对比表、运行时间曲线</w:t>
            </w:r>
          </w:p>
        </w:tc>
      </w:tr>
      <w:tr>
        <w:trPr>
          <w:cantSplit/>
        </w:trPr>
        <w:tc>
          <w:tcPr>
            <w:tcW w:type="dxa" w:w="979"/>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阶段 5</w:t>
            </w:r>
          </w:p>
        </w:tc>
        <w:tc>
          <w:tcPr>
            <w:tcW w:type="dxa" w:w="338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按成分、温度和缺陷条件给出设计优化建议</w:t>
            </w:r>
          </w:p>
        </w:tc>
        <w:tc>
          <w:tcPr>
            <w:tcW w:type="dxa" w:w="338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成分-组织趋势表、材料设计建议</w:t>
            </w:r>
          </w:p>
        </w:tc>
        <w:tc>
          <w:tcPr>
            <w:tcW w:type="dxa" w:w="2188"/>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成分-组织趋势表、材料设计建议</w:t>
            </w:r>
          </w:p>
        </w:tc>
      </w:tr>
      <w:tr>
        <w:trPr>
          <w:cantSplit/>
        </w:trPr>
        <w:tc>
          <w:tcPr>
            <w:tcW w:type="dxa" w:w="979"/>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阶段 6</w:t>
            </w:r>
          </w:p>
        </w:tc>
        <w:tc>
          <w:tcPr>
            <w:tcW w:type="dxa" w:w="338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汇总全部测试结果形成验收报告</w:t>
            </w:r>
          </w:p>
        </w:tc>
        <w:tc>
          <w:tcPr>
            <w:tcW w:type="dxa" w:w="338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验收报告、测试数据、结果图表</w:t>
            </w:r>
          </w:p>
        </w:tc>
        <w:tc>
          <w:tcPr>
            <w:tcW w:type="dxa" w:w="2188"/>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验收报告、测试数据、结果图表</w:t>
            </w:r>
          </w:p>
        </w:tc>
      </w:tr>
    </w:tbl>
    <w:p>
      <w:pPr>
        <w:spacing w:before="0" w:after="80" w:line="293" w:lineRule="auto"/>
      </w:pPr>
    </w:p>
    <w:p>
      <w:pPr>
        <w:pStyle w:val="Heading1"/>
        <w:spacing w:before="260" w:after="140"/>
      </w:pPr>
      <w:r>
        <w:rPr>
          <w:rFonts w:ascii="Times New Roman" w:hAnsi="Times New Roman" w:eastAsia="Songti SC"/>
          <w:b/>
          <w:i w:val="0"/>
          <w:sz w:val="30"/>
        </w:rPr>
        <w:t>四、主要输出结果</w:t>
      </w:r>
    </w:p>
    <w:p>
      <w:pPr>
        <w:spacing w:before="0" w:after="120" w:line="293" w:lineRule="auto"/>
      </w:pPr>
      <w:r>
        <w:rPr>
          <w:rFonts w:ascii="Times New Roman" w:hAnsi="Times New Roman" w:eastAsia="Songti SC"/>
          <w:b w:val="0"/>
          <w:i w:val="0"/>
          <w:sz w:val="22"/>
        </w:rPr>
        <w:t>本测试最终形成以下结果：</w:t>
      </w:r>
    </w:p>
    <w:p>
      <w:pPr>
        <w:spacing w:after="60" w:line="283" w:lineRule="auto"/>
        <w:ind w:left="403" w:hanging="403"/>
      </w:pPr>
      <w:r>
        <w:rPr>
          <w:rFonts w:ascii="Times New Roman" w:hAnsi="Times New Roman" w:eastAsia="Songti SC"/>
          <w:b w:val="0"/>
          <w:i w:val="0"/>
          <w:sz w:val="22"/>
        </w:rPr>
        <w:t>1.  Fe-Cu-vacancy 典型测试算例；</w:t>
      </w:r>
    </w:p>
    <w:p>
      <w:pPr>
        <w:spacing w:after="60" w:line="283" w:lineRule="auto"/>
        <w:ind w:left="403" w:hanging="403"/>
      </w:pPr>
      <w:r>
        <w:rPr>
          <w:rFonts w:ascii="Times New Roman" w:hAnsi="Times New Roman" w:eastAsia="Songti SC"/>
          <w:b w:val="0"/>
          <w:i w:val="0"/>
          <w:sz w:val="22"/>
        </w:rPr>
        <w:t>2.  能量计算结果表；</w:t>
      </w:r>
    </w:p>
    <w:p>
      <w:pPr>
        <w:spacing w:after="60" w:line="283" w:lineRule="auto"/>
        <w:ind w:left="403" w:hanging="403"/>
      </w:pPr>
      <w:r>
        <w:rPr>
          <w:rFonts w:ascii="Times New Roman" w:hAnsi="Times New Roman" w:eastAsia="Songti SC"/>
          <w:b w:val="0"/>
          <w:i w:val="0"/>
          <w:sz w:val="22"/>
        </w:rPr>
        <w:t>3.  软件适配和性能测试记录；</w:t>
      </w:r>
    </w:p>
    <w:p>
      <w:pPr>
        <w:spacing w:after="60" w:line="283" w:lineRule="auto"/>
        <w:ind w:left="403" w:hanging="403"/>
      </w:pPr>
      <w:r>
        <w:rPr>
          <w:rFonts w:ascii="Times New Roman" w:hAnsi="Times New Roman" w:eastAsia="Songti SC"/>
          <w:b w:val="0"/>
          <w:i w:val="0"/>
          <w:sz w:val="22"/>
        </w:rPr>
        <w:t>4.  跨尺度数据集；</w:t>
      </w:r>
    </w:p>
    <w:p>
      <w:pPr>
        <w:spacing w:after="60" w:line="283" w:lineRule="auto"/>
        <w:ind w:left="403" w:hanging="403"/>
      </w:pPr>
      <w:r>
        <w:rPr>
          <w:rFonts w:ascii="Times New Roman" w:hAnsi="Times New Roman" w:eastAsia="Songti SC"/>
          <w:b w:val="0"/>
          <w:i w:val="0"/>
          <w:sz w:val="22"/>
        </w:rPr>
        <w:t>5.  材料演化曲线；</w:t>
      </w:r>
    </w:p>
    <w:p>
      <w:pPr>
        <w:spacing w:after="60" w:line="283" w:lineRule="auto"/>
        <w:ind w:left="403" w:hanging="403"/>
      </w:pPr>
      <w:r>
        <w:rPr>
          <w:rFonts w:ascii="Times New Roman" w:hAnsi="Times New Roman" w:eastAsia="Songti SC"/>
          <w:b w:val="0"/>
          <w:i w:val="0"/>
          <w:sz w:val="22"/>
        </w:rPr>
        <w:t>6.  Cu 团簇组织结构图；</w:t>
      </w:r>
    </w:p>
    <w:p>
      <w:pPr>
        <w:spacing w:after="60" w:line="283" w:lineRule="auto"/>
        <w:ind w:left="403" w:hanging="403"/>
      </w:pPr>
      <w:r>
        <w:rPr>
          <w:rFonts w:ascii="Times New Roman" w:hAnsi="Times New Roman" w:eastAsia="Songti SC"/>
          <w:b w:val="0"/>
          <w:i w:val="0"/>
          <w:sz w:val="22"/>
        </w:rPr>
        <w:t>7.  计算效率对比表；</w:t>
      </w:r>
    </w:p>
    <w:p>
      <w:pPr>
        <w:spacing w:after="60" w:line="283" w:lineRule="auto"/>
        <w:ind w:left="403" w:hanging="403"/>
      </w:pPr>
      <w:r>
        <w:rPr>
          <w:rFonts w:ascii="Times New Roman" w:hAnsi="Times New Roman" w:eastAsia="Songti SC"/>
          <w:b w:val="0"/>
          <w:i w:val="0"/>
          <w:sz w:val="22"/>
        </w:rPr>
        <w:t>8.  材料设计优化建议；</w:t>
      </w:r>
    </w:p>
    <w:p>
      <w:pPr>
        <w:spacing w:after="60" w:line="283" w:lineRule="auto"/>
        <w:ind w:left="403" w:hanging="403"/>
      </w:pPr>
      <w:r>
        <w:rPr>
          <w:rFonts w:ascii="Times New Roman" w:hAnsi="Times New Roman" w:eastAsia="Songti SC"/>
          <w:b w:val="0"/>
          <w:i w:val="0"/>
          <w:sz w:val="22"/>
        </w:rPr>
        <w:t>9.  项目验收报告。</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293"/>
        <w:gridCol w:w="3293"/>
        <w:gridCol w:w="3293"/>
      </w:tblGrid>
      <w:tr>
        <w:trPr>
          <w:tblHeader w:val="true"/>
          <w:cantSplit/>
        </w:trPr>
        <w:tc>
          <w:tcPr>
            <w:tcW w:type="dxa" w:w="648"/>
            <w:tcMar>
              <w:top w:w="80" w:type="dxa"/>
              <w:start w:w="90" w:type="dxa"/>
              <w:bottom w:w="80" w:type="dxa"/>
              <w:end w:w="90" w:type="dxa"/>
            </w:tcMar>
            <w:vAlign w:val="center"/>
            <w:shd w:fill="F2F2F2"/>
          </w:tcPr>
          <w:p>
            <w:pPr>
              <w:spacing w:before="0" w:after="0" w:line="259" w:lineRule="auto"/>
              <w:jc w:val="center"/>
            </w:pPr>
            <w:r/>
            <w:r>
              <w:rPr>
                <w:rFonts w:ascii="Times New Roman" w:hAnsi="Times New Roman" w:eastAsia="Songti SC"/>
                <w:b/>
                <w:i w:val="0"/>
                <w:sz w:val="16"/>
              </w:rPr>
              <w:t>序号</w:t>
            </w:r>
          </w:p>
        </w:tc>
        <w:tc>
          <w:tcPr>
            <w:tcW w:type="dxa" w:w="2664"/>
            <w:tcMar>
              <w:top w:w="80" w:type="dxa"/>
              <w:start w:w="90" w:type="dxa"/>
              <w:bottom w:w="80" w:type="dxa"/>
              <w:end w:w="90" w:type="dxa"/>
            </w:tcMar>
            <w:vAlign w:val="center"/>
            <w:shd w:fill="F2F2F2"/>
          </w:tcPr>
          <w:p>
            <w:pPr>
              <w:spacing w:before="0" w:after="0" w:line="259" w:lineRule="auto"/>
              <w:jc w:val="center"/>
            </w:pPr>
            <w:r/>
            <w:r>
              <w:rPr>
                <w:rFonts w:ascii="Times New Roman" w:hAnsi="Times New Roman" w:eastAsia="Songti SC"/>
                <w:b/>
                <w:i w:val="0"/>
                <w:sz w:val="16"/>
              </w:rPr>
              <w:t>主要输出结果</w:t>
            </w:r>
          </w:p>
        </w:tc>
        <w:tc>
          <w:tcPr>
            <w:tcW w:type="dxa" w:w="6623"/>
            <w:tcMar>
              <w:top w:w="80" w:type="dxa"/>
              <w:start w:w="90" w:type="dxa"/>
              <w:bottom w:w="80" w:type="dxa"/>
              <w:end w:w="90" w:type="dxa"/>
            </w:tcMar>
            <w:vAlign w:val="center"/>
            <w:shd w:fill="F2F2F2"/>
          </w:tcPr>
          <w:p>
            <w:pPr>
              <w:spacing w:before="0" w:after="0" w:line="259" w:lineRule="auto"/>
              <w:jc w:val="center"/>
            </w:pPr>
            <w:r/>
            <w:r>
              <w:rPr>
                <w:rFonts w:ascii="Times New Roman" w:hAnsi="Times New Roman" w:eastAsia="Songti SC"/>
                <w:b/>
                <w:i w:val="0"/>
                <w:sz w:val="16"/>
              </w:rPr>
              <w:t>对应文件</w:t>
            </w:r>
          </w:p>
        </w:tc>
      </w:tr>
      <w:tr>
        <w:trPr>
          <w:cantSplit/>
        </w:trPr>
        <w:tc>
          <w:tcPr>
            <w:tcW w:type="dxa" w:w="648"/>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1</w:t>
            </w:r>
          </w:p>
        </w:tc>
        <w:tc>
          <w:tcPr>
            <w:tcW w:type="dxa" w:w="266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Fe-Cu-vacancy 典型测试算例</w:t>
            </w:r>
          </w:p>
        </w:tc>
        <w:tc>
          <w:tcPr>
            <w:tcW w:type="dxa" w:w="6623"/>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outputs/cases/typical_cases.json</w:t>
            </w:r>
          </w:p>
        </w:tc>
      </w:tr>
      <w:tr>
        <w:trPr>
          <w:cantSplit/>
        </w:trPr>
        <w:tc>
          <w:tcPr>
            <w:tcW w:type="dxa" w:w="648"/>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2</w:t>
            </w:r>
          </w:p>
        </w:tc>
        <w:tc>
          <w:tcPr>
            <w:tcW w:type="dxa" w:w="266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能量计算结果表</w:t>
            </w:r>
          </w:p>
        </w:tc>
        <w:tc>
          <w:tcPr>
            <w:tcW w:type="dxa" w:w="6623"/>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outputs/tables/energy_results.csv</w:t>
            </w:r>
          </w:p>
        </w:tc>
      </w:tr>
      <w:tr>
        <w:trPr>
          <w:cantSplit/>
        </w:trPr>
        <w:tc>
          <w:tcPr>
            <w:tcW w:type="dxa" w:w="648"/>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3</w:t>
            </w:r>
          </w:p>
        </w:tc>
        <w:tc>
          <w:tcPr>
            <w:tcW w:type="dxa" w:w="266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软件适配和性能测试记录</w:t>
            </w:r>
          </w:p>
        </w:tc>
        <w:tc>
          <w:tcPr>
            <w:tcW w:type="dxa" w:w="6623"/>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outputs/reports/software_adaptation_and_performance.md; outputs/tables/performance_records.csv; outputs/tables/module_timing_breakdown.csv</w:t>
            </w:r>
          </w:p>
        </w:tc>
      </w:tr>
      <w:tr>
        <w:trPr>
          <w:cantSplit/>
        </w:trPr>
        <w:tc>
          <w:tcPr>
            <w:tcW w:type="dxa" w:w="648"/>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4</w:t>
            </w:r>
          </w:p>
        </w:tc>
        <w:tc>
          <w:tcPr>
            <w:tcW w:type="dxa" w:w="266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跨尺度数据集</w:t>
            </w:r>
          </w:p>
        </w:tc>
        <w:tc>
          <w:tcPr>
            <w:tcW w:type="dxa" w:w="6623"/>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outputs/datasets/multiscale_dataset.csv; outputs/tables/multiscale_dataset.csv</w:t>
            </w:r>
          </w:p>
        </w:tc>
      </w:tr>
      <w:tr>
        <w:trPr>
          <w:cantSplit/>
        </w:trPr>
        <w:tc>
          <w:tcPr>
            <w:tcW w:type="dxa" w:w="648"/>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5</w:t>
            </w:r>
          </w:p>
        </w:tc>
        <w:tc>
          <w:tcPr>
            <w:tcW w:type="dxa" w:w="266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材料演化曲线</w:t>
            </w:r>
          </w:p>
        </w:tc>
        <w:tc>
          <w:tcPr>
            <w:tcW w:type="dxa" w:w="6623"/>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outputs/figures/material_evolution_curves.png</w:t>
            </w:r>
          </w:p>
        </w:tc>
      </w:tr>
      <w:tr>
        <w:trPr>
          <w:cantSplit/>
        </w:trPr>
        <w:tc>
          <w:tcPr>
            <w:tcW w:type="dxa" w:w="648"/>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6</w:t>
            </w:r>
          </w:p>
        </w:tc>
        <w:tc>
          <w:tcPr>
            <w:tcW w:type="dxa" w:w="266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Cu 团簇组织结构图</w:t>
            </w:r>
          </w:p>
        </w:tc>
        <w:tc>
          <w:tcPr>
            <w:tcW w:type="dxa" w:w="6623"/>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outputs/figures/cu_cluster_structure.png</w:t>
            </w:r>
          </w:p>
        </w:tc>
      </w:tr>
      <w:tr>
        <w:trPr>
          <w:cantSplit/>
        </w:trPr>
        <w:tc>
          <w:tcPr>
            <w:tcW w:type="dxa" w:w="648"/>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7</w:t>
            </w:r>
          </w:p>
        </w:tc>
        <w:tc>
          <w:tcPr>
            <w:tcW w:type="dxa" w:w="266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计算效率对比表</w:t>
            </w:r>
          </w:p>
        </w:tc>
        <w:tc>
          <w:tcPr>
            <w:tcW w:type="dxa" w:w="6623"/>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outputs/tables/efficiency_comparison.csv; outputs/figures/runtime_comparison.png</w:t>
            </w:r>
          </w:p>
        </w:tc>
      </w:tr>
      <w:tr>
        <w:trPr>
          <w:cantSplit/>
        </w:trPr>
        <w:tc>
          <w:tcPr>
            <w:tcW w:type="dxa" w:w="648"/>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8</w:t>
            </w:r>
          </w:p>
        </w:tc>
        <w:tc>
          <w:tcPr>
            <w:tcW w:type="dxa" w:w="266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材料设计优化建议</w:t>
            </w:r>
          </w:p>
        </w:tc>
        <w:tc>
          <w:tcPr>
            <w:tcW w:type="dxa" w:w="6623"/>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outputs/reports/material_design_recommendations.md</w:t>
            </w:r>
          </w:p>
        </w:tc>
      </w:tr>
      <w:tr>
        <w:trPr>
          <w:cantSplit/>
        </w:trPr>
        <w:tc>
          <w:tcPr>
            <w:tcW w:type="dxa" w:w="648"/>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6"/>
              </w:rPr>
              <w:t>9</w:t>
            </w:r>
          </w:p>
        </w:tc>
        <w:tc>
          <w:tcPr>
            <w:tcW w:type="dxa" w:w="2664"/>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项目验收报告</w:t>
            </w:r>
          </w:p>
        </w:tc>
        <w:tc>
          <w:tcPr>
            <w:tcW w:type="dxa" w:w="6623"/>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6"/>
              </w:rPr>
              <w:t>outputs/reports/acceptance_report.pdf; outputs/reports/acceptance_report.tex; outputs/reports/acceptance_report.md</w:t>
            </w:r>
          </w:p>
        </w:tc>
      </w:tr>
    </w:tbl>
    <w:p>
      <w:pPr>
        <w:spacing w:before="0" w:after="80" w:line="293" w:lineRule="auto"/>
      </w:pPr>
    </w:p>
    <w:p>
      <w:pPr>
        <w:pStyle w:val="Heading1"/>
        <w:spacing w:before="260" w:after="140"/>
      </w:pPr>
      <w:r>
        <w:rPr>
          <w:rFonts w:ascii="Times New Roman" w:hAnsi="Times New Roman" w:eastAsia="Songti SC"/>
          <w:b/>
          <w:i w:val="0"/>
          <w:sz w:val="30"/>
        </w:rPr>
        <w:t>五、验收展示内容</w:t>
      </w:r>
    </w:p>
    <w:p>
      <w:pPr>
        <w:spacing w:before="0" w:after="120" w:line="293" w:lineRule="auto"/>
      </w:pPr>
      <w:r>
        <w:rPr>
          <w:rFonts w:ascii="Times New Roman" w:hAnsi="Times New Roman" w:eastAsia="Songti SC"/>
          <w:b w:val="0"/>
          <w:i w:val="0"/>
          <w:sz w:val="22"/>
        </w:rPr>
        <w:t>验收时重点展示：</w:t>
      </w:r>
    </w:p>
    <w:p>
      <w:pPr>
        <w:spacing w:after="60" w:line="283" w:lineRule="auto"/>
        <w:ind w:left="403" w:hanging="403"/>
      </w:pPr>
      <w:r>
        <w:rPr>
          <w:rFonts w:ascii="Times New Roman" w:hAnsi="Times New Roman" w:eastAsia="Songti SC"/>
          <w:b w:val="0"/>
          <w:i w:val="0"/>
          <w:sz w:val="22"/>
        </w:rPr>
        <w:t>1.  软件适配结果：说明 Fe-Cu-vacancy 算例可以正常运行；</w:t>
      </w:r>
    </w:p>
    <w:p>
      <w:pPr>
        <w:spacing w:after="60" w:line="283" w:lineRule="auto"/>
        <w:ind w:left="403" w:hanging="403"/>
      </w:pPr>
      <w:r>
        <w:rPr>
          <w:rFonts w:ascii="Times New Roman" w:hAnsi="Times New Roman" w:eastAsia="Songti SC"/>
          <w:b w:val="0"/>
          <w:i w:val="0"/>
          <w:sz w:val="22"/>
        </w:rPr>
        <w:t>2.  性能优化结果：展示优化前后运行时间对比；</w:t>
      </w:r>
    </w:p>
    <w:p>
      <w:pPr>
        <w:spacing w:after="60" w:line="283" w:lineRule="auto"/>
        <w:ind w:left="403" w:hanging="403"/>
      </w:pPr>
      <w:r>
        <w:rPr>
          <w:rFonts w:ascii="Times New Roman" w:hAnsi="Times New Roman" w:eastAsia="Songti SC"/>
          <w:b w:val="0"/>
          <w:i w:val="0"/>
          <w:sz w:val="22"/>
        </w:rPr>
        <w:t>3.  跨尺度数据结果：展示不同温度、成分条件下的数据生成；</w:t>
      </w:r>
    </w:p>
    <w:p>
      <w:pPr>
        <w:spacing w:after="60" w:line="283" w:lineRule="auto"/>
        <w:ind w:left="403" w:hanging="403"/>
      </w:pPr>
      <w:r>
        <w:rPr>
          <w:rFonts w:ascii="Times New Roman" w:hAnsi="Times New Roman" w:eastAsia="Songti SC"/>
          <w:b w:val="0"/>
          <w:i w:val="0"/>
          <w:sz w:val="22"/>
        </w:rPr>
        <w:t>4.  材料演化结果：展示能量变化曲线和 Cu 团簇结构；</w:t>
      </w:r>
    </w:p>
    <w:p>
      <w:pPr>
        <w:spacing w:after="60" w:line="283" w:lineRule="auto"/>
        <w:ind w:left="403" w:hanging="403"/>
      </w:pPr>
      <w:r>
        <w:rPr>
          <w:rFonts w:ascii="Times New Roman" w:hAnsi="Times New Roman" w:eastAsia="Songti SC"/>
          <w:b w:val="0"/>
          <w:i w:val="0"/>
          <w:sz w:val="22"/>
        </w:rPr>
        <w:t>5.  设计优化结果：给出材料成分和组织调控建议；</w:t>
      </w:r>
    </w:p>
    <w:p>
      <w:pPr>
        <w:spacing w:after="60" w:line="283" w:lineRule="auto"/>
        <w:ind w:left="403" w:hanging="403"/>
      </w:pPr>
      <w:r>
        <w:rPr>
          <w:rFonts w:ascii="Times New Roman" w:hAnsi="Times New Roman" w:eastAsia="Songti SC"/>
          <w:b w:val="0"/>
          <w:i w:val="0"/>
          <w:sz w:val="22"/>
        </w:rPr>
        <w:t>6.  验收报告：汇总各阶段任务完成情况。</w:t>
      </w:r>
    </w:p>
    <w:p>
      <w:pPr>
        <w:spacing w:before="0" w:after="120" w:line="293" w:lineRule="auto"/>
      </w:pPr>
      <w:r>
        <w:rPr>
          <w:rFonts w:ascii="Times New Roman" w:hAnsi="Times New Roman" w:eastAsia="Songti SC"/>
          <w:b w:val="0"/>
          <w:i w:val="0"/>
          <w:sz w:val="22"/>
        </w:rPr>
        <w:t>主要图形结果如下：</w:t>
      </w:r>
    </w:p>
    <w:p>
      <w:r>
        <w:br w:type="page"/>
      </w:r>
    </w:p>
    <w:p>
      <w:pPr>
        <w:spacing w:before="80" w:after="80"/>
        <w:jc w:val="center"/>
      </w:pPr>
      <w:r>
        <w:drawing>
          <wp:inline xmlns:a="http://schemas.openxmlformats.org/drawingml/2006/main" xmlns:pic="http://schemas.openxmlformats.org/drawingml/2006/picture">
            <wp:extent cx="5715000" cy="1834444"/>
            <wp:docPr id="1" name="Picture 1"/>
            <wp:cNvGraphicFramePr>
              <a:graphicFrameLocks noChangeAspect="1"/>
            </wp:cNvGraphicFramePr>
            <a:graphic>
              <a:graphicData uri="http://schemas.openxmlformats.org/drawingml/2006/picture">
                <pic:pic>
                  <pic:nvPicPr>
                    <pic:cNvPr id="0" name="material_evolution_curves.png"/>
                    <pic:cNvPicPr/>
                  </pic:nvPicPr>
                  <pic:blipFill>
                    <a:blip r:embed="rId9"/>
                    <a:stretch>
                      <a:fillRect/>
                    </a:stretch>
                  </pic:blipFill>
                  <pic:spPr>
                    <a:xfrm>
                      <a:off x="0" y="0"/>
                      <a:ext cx="5715000" cy="1834444"/>
                    </a:xfrm>
                    <a:prstGeom prst="rect"/>
                  </pic:spPr>
                </pic:pic>
              </a:graphicData>
            </a:graphic>
          </wp:inline>
        </w:drawing>
      </w:r>
    </w:p>
    <w:p>
      <w:pPr>
        <w:spacing w:before="0" w:after="200" w:line="293" w:lineRule="auto"/>
      </w:pPr>
      <w:r>
        <w:rPr>
          <w:rFonts w:ascii="Times New Roman" w:hAnsi="Times New Roman" w:eastAsia="Songti SC"/>
          <w:b w:val="0"/>
          <w:i w:val="0"/>
          <w:sz w:val="21"/>
        </w:rPr>
        <w:t>图 1  材料演化曲线。左图展示不同温度条件下平均能量随 KMC step 的变化；中图展示不同 Cu density 条件下最大 Cu 团簇尺寸变化，并去除了最高 Cu density 曲线以突出低中 Cu 含量差异；右图展示不同 vacancy density 条件下物理时间推进差异。</w:t>
      </w:r>
    </w:p>
    <w:p>
      <w:r>
        <w:br w:type="page"/>
      </w:r>
    </w:p>
    <w:p>
      <w:pPr>
        <w:spacing w:before="80" w:after="80"/>
        <w:jc w:val="center"/>
      </w:pPr>
      <w:r>
        <w:drawing>
          <wp:inline xmlns:a="http://schemas.openxmlformats.org/drawingml/2006/main" xmlns:pic="http://schemas.openxmlformats.org/drawingml/2006/picture">
            <wp:extent cx="5623560" cy="4347354"/>
            <wp:docPr id="2" name="Picture 2"/>
            <wp:cNvGraphicFramePr>
              <a:graphicFrameLocks noChangeAspect="1"/>
            </wp:cNvGraphicFramePr>
            <a:graphic>
              <a:graphicData uri="http://schemas.openxmlformats.org/drawingml/2006/picture">
                <pic:pic>
                  <pic:nvPicPr>
                    <pic:cNvPr id="0" name="cu_cluster_structure.png"/>
                    <pic:cNvPicPr/>
                  </pic:nvPicPr>
                  <pic:blipFill>
                    <a:blip r:embed="rId10"/>
                    <a:stretch>
                      <a:fillRect/>
                    </a:stretch>
                  </pic:blipFill>
                  <pic:spPr>
                    <a:xfrm>
                      <a:off x="0" y="0"/>
                      <a:ext cx="5623560" cy="4347354"/>
                    </a:xfrm>
                    <a:prstGeom prst="rect"/>
                  </pic:spPr>
                </pic:pic>
              </a:graphicData>
            </a:graphic>
          </wp:inline>
        </w:drawing>
      </w:r>
    </w:p>
    <w:p>
      <w:pPr>
        <w:spacing w:before="0" w:after="200" w:line="293" w:lineRule="auto"/>
      </w:pPr>
      <w:r>
        <w:rPr>
          <w:rFonts w:ascii="Times New Roman" w:hAnsi="Times New Roman" w:eastAsia="Songti SC"/>
          <w:b w:val="0"/>
          <w:i w:val="0"/>
          <w:sz w:val="21"/>
        </w:rPr>
        <w:t>图 2  Cu 团簇组织结构图。图中选取最大 Cu 团簇增长最明显的算例，上排给出初始与最终 whole box 的 Cu 原子空间分布，下排给出局部放大区域；红色描边表示当前最大团簇，黄色点表示最终最大团簇中新加入的 Cu 位点，用于突出 initial 到 final 的团簇增长。</w:t>
      </w:r>
    </w:p>
    <w:p>
      <w:r>
        <w:br w:type="page"/>
      </w:r>
    </w:p>
    <w:p>
      <w:pPr>
        <w:spacing w:before="80" w:after="80"/>
        <w:jc w:val="center"/>
      </w:pPr>
      <w:r>
        <w:drawing>
          <wp:inline xmlns:a="http://schemas.openxmlformats.org/drawingml/2006/main" xmlns:pic="http://schemas.openxmlformats.org/drawingml/2006/picture">
            <wp:extent cx="5532120" cy="2141466"/>
            <wp:docPr id="3" name="Picture 3"/>
            <wp:cNvGraphicFramePr>
              <a:graphicFrameLocks noChangeAspect="1"/>
            </wp:cNvGraphicFramePr>
            <a:graphic>
              <a:graphicData uri="http://schemas.openxmlformats.org/drawingml/2006/picture">
                <pic:pic>
                  <pic:nvPicPr>
                    <pic:cNvPr id="0" name="runtime_comparison.png"/>
                    <pic:cNvPicPr/>
                  </pic:nvPicPr>
                  <pic:blipFill>
                    <a:blip r:embed="rId11"/>
                    <a:stretch>
                      <a:fillRect/>
                    </a:stretch>
                  </pic:blipFill>
                  <pic:spPr>
                    <a:xfrm>
                      <a:off x="0" y="0"/>
                      <a:ext cx="5532120" cy="2141466"/>
                    </a:xfrm>
                    <a:prstGeom prst="rect"/>
                  </pic:spPr>
                </pic:pic>
              </a:graphicData>
            </a:graphic>
          </wp:inline>
        </w:drawing>
      </w:r>
    </w:p>
    <w:p>
      <w:pPr>
        <w:spacing w:before="0" w:after="200" w:line="293" w:lineRule="auto"/>
      </w:pPr>
      <w:r>
        <w:rPr>
          <w:rFonts w:ascii="Times New Roman" w:hAnsi="Times New Roman" w:eastAsia="Songti SC"/>
          <w:b w:val="0"/>
          <w:i w:val="0"/>
          <w:sz w:val="21"/>
        </w:rPr>
        <w:t>图 3  运行时间对比。左图使用对数坐标比较全量速率刷新 baseline 与增量更新模式的运行时间，右图给出各 lattice size 下的 measured speedup，用于展示性能优化趋势。</w:t>
      </w:r>
    </w:p>
    <w:p>
      <w:pPr>
        <w:pStyle w:val="Heading1"/>
        <w:spacing w:before="260" w:after="140"/>
      </w:pPr>
      <w:r>
        <w:rPr>
          <w:rFonts w:ascii="Times New Roman" w:hAnsi="Times New Roman" w:eastAsia="Songti SC"/>
          <w:b/>
          <w:i w:val="0"/>
          <w:sz w:val="30"/>
        </w:rPr>
        <w:t>六、简要结论</w:t>
      </w:r>
    </w:p>
    <w:p>
      <w:pPr>
        <w:spacing w:before="0" w:after="120" w:line="293" w:lineRule="auto"/>
      </w:pPr>
      <w:r>
        <w:rPr>
          <w:rFonts w:ascii="Times New Roman" w:hAnsi="Times New Roman" w:eastAsia="Songti SC"/>
          <w:b w:val="0"/>
          <w:i w:val="0"/>
          <w:sz w:val="22"/>
        </w:rPr>
        <w:t>通过 Fe-Cu-vacancy 测试样例，本测试展示了 KMC 从材料能量计算、跨尺度数据生成、大规模并行计算展示到材料设计建议的完整流程。测试结果可支撑强关联材料体系的数值模拟、智能计算和优化设计任务验收。</w:t>
      </w:r>
    </w:p>
    <w:p>
      <w:pPr>
        <w:spacing w:before="0" w:after="120" w:line="293" w:lineRule="auto"/>
      </w:pPr>
      <w:r>
        <w:rPr>
          <w:rFonts w:ascii="Times New Roman" w:hAnsi="Times New Roman" w:eastAsia="Songti SC"/>
          <w:b w:val="0"/>
          <w:i w:val="0"/>
          <w:sz w:val="22"/>
        </w:rPr>
        <w:t>关键结果摘要如下：</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939"/>
        <w:gridCol w:w="4939"/>
      </w:tblGrid>
      <w:tr>
        <w:trPr>
          <w:tblHeader w:val="true"/>
          <w:cantSplit/>
        </w:trPr>
        <w:tc>
          <w:tcPr>
            <w:tcW w:type="dxa" w:w="3240"/>
            <w:tcMar>
              <w:top w:w="80" w:type="dxa"/>
              <w:start w:w="90" w:type="dxa"/>
              <w:bottom w:w="80" w:type="dxa"/>
              <w:end w:w="90" w:type="dxa"/>
            </w:tcMar>
            <w:vAlign w:val="center"/>
            <w:shd w:fill="F2F2F2"/>
          </w:tcPr>
          <w:p>
            <w:pPr>
              <w:spacing w:before="0" w:after="0" w:line="259" w:lineRule="auto"/>
              <w:jc w:val="center"/>
            </w:pPr>
            <w:r/>
            <w:r>
              <w:rPr>
                <w:rFonts w:ascii="Times New Roman" w:hAnsi="Times New Roman" w:eastAsia="Songti SC"/>
                <w:b/>
                <w:i w:val="0"/>
                <w:sz w:val="17"/>
              </w:rPr>
              <w:t>项目</w:t>
            </w:r>
          </w:p>
        </w:tc>
        <w:tc>
          <w:tcPr>
            <w:tcW w:type="dxa" w:w="6696"/>
            <w:tcMar>
              <w:top w:w="80" w:type="dxa"/>
              <w:start w:w="90" w:type="dxa"/>
              <w:bottom w:w="80" w:type="dxa"/>
              <w:end w:w="90" w:type="dxa"/>
            </w:tcMar>
            <w:vAlign w:val="center"/>
            <w:shd w:fill="F2F2F2"/>
          </w:tcPr>
          <w:p>
            <w:pPr>
              <w:spacing w:before="0" w:after="0" w:line="259" w:lineRule="auto"/>
              <w:jc w:val="center"/>
            </w:pPr>
            <w:r/>
            <w:r>
              <w:rPr>
                <w:rFonts w:ascii="Times New Roman" w:hAnsi="Times New Roman" w:eastAsia="Songti SC"/>
                <w:b/>
                <w:i w:val="0"/>
                <w:sz w:val="17"/>
              </w:rPr>
              <w:t>结果</w:t>
            </w:r>
          </w:p>
        </w:tc>
      </w:tr>
      <w:tr>
        <w:trPr>
          <w:cantSplit/>
        </w:trPr>
        <w:tc>
          <w:tcPr>
            <w:tcW w:type="dxa" w:w="3240"/>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7"/>
              </w:rPr>
              <w:t>总 KMC 算例数量</w:t>
            </w:r>
          </w:p>
        </w:tc>
        <w:tc>
          <w:tcPr>
            <w:tcW w:type="dxa" w:w="6696"/>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7"/>
              </w:rPr>
              <w:t>360</w:t>
            </w:r>
          </w:p>
        </w:tc>
      </w:tr>
      <w:tr>
        <w:trPr>
          <w:cantSplit/>
        </w:trPr>
        <w:tc>
          <w:tcPr>
            <w:tcW w:type="dxa" w:w="3240"/>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7"/>
              </w:rPr>
              <w:t>逐步 KMC 记录</w:t>
            </w:r>
          </w:p>
        </w:tc>
        <w:tc>
          <w:tcPr>
            <w:tcW w:type="dxa" w:w="6696"/>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7"/>
              </w:rPr>
              <w:t>36000</w:t>
            </w:r>
          </w:p>
        </w:tc>
      </w:tr>
      <w:tr>
        <w:trPr>
          <w:cantSplit/>
        </w:trPr>
        <w:tc>
          <w:tcPr>
            <w:tcW w:type="dxa" w:w="3240"/>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7"/>
              </w:rPr>
              <w:t>能量结果行数</w:t>
            </w:r>
          </w:p>
        </w:tc>
        <w:tc>
          <w:tcPr>
            <w:tcW w:type="dxa" w:w="6696"/>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7"/>
              </w:rPr>
              <w:t>360</w:t>
            </w:r>
          </w:p>
        </w:tc>
      </w:tr>
      <w:tr>
        <w:trPr>
          <w:cantSplit/>
        </w:trPr>
        <w:tc>
          <w:tcPr>
            <w:tcW w:type="dxa" w:w="3240"/>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7"/>
              </w:rPr>
              <w:t>最终 pair energy 范围</w:t>
            </w:r>
          </w:p>
        </w:tc>
        <w:tc>
          <w:tcPr>
            <w:tcW w:type="dxa" w:w="6696"/>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7"/>
              </w:rPr>
              <w:t>-149825.616261 到 -4364.526262 eV</w:t>
            </w:r>
          </w:p>
        </w:tc>
      </w:tr>
      <w:tr>
        <w:trPr>
          <w:cantSplit/>
        </w:trPr>
        <w:tc>
          <w:tcPr>
            <w:tcW w:type="dxa" w:w="3240"/>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7"/>
              </w:rPr>
              <w:t>Cu 最大团簇范围</w:t>
            </w:r>
          </w:p>
        </w:tc>
        <w:tc>
          <w:tcPr>
            <w:tcW w:type="dxa" w:w="6696"/>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7"/>
              </w:rPr>
              <w:t>1 到 167</w:t>
            </w:r>
          </w:p>
        </w:tc>
      </w:tr>
      <w:tr>
        <w:trPr>
          <w:cantSplit/>
        </w:trPr>
        <w:tc>
          <w:tcPr>
            <w:tcW w:type="dxa" w:w="3240"/>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7"/>
              </w:rPr>
              <w:t>十种 lattice size speedup</w:t>
            </w:r>
          </w:p>
        </w:tc>
        <w:tc>
          <w:tcPr>
            <w:tcW w:type="dxa" w:w="6696"/>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7"/>
              </w:rPr>
              <w:t>268.658x, 240.845x, 136.893x, 79.941x, 48.476x, 42.803x, 29.809x, 21.719x, 17.761x, 15.874x</w:t>
            </w:r>
          </w:p>
        </w:tc>
      </w:tr>
      <w:tr>
        <w:trPr>
          <w:cantSplit/>
        </w:trPr>
        <w:tc>
          <w:tcPr>
            <w:tcW w:type="dxa" w:w="3240"/>
            <w:tcMar>
              <w:top w:w="80" w:type="dxa"/>
              <w:start w:w="90" w:type="dxa"/>
              <w:bottom w:w="80" w:type="dxa"/>
              <w:end w:w="90" w:type="dxa"/>
            </w:tcMar>
            <w:vAlign w:val="center"/>
          </w:tcPr>
          <w:p>
            <w:pPr>
              <w:spacing w:before="0" w:after="0" w:line="259" w:lineRule="auto"/>
              <w:jc w:val="center"/>
            </w:pPr>
            <w:r/>
            <w:r>
              <w:rPr>
                <w:rFonts w:ascii="Times New Roman" w:hAnsi="Times New Roman" w:eastAsia="Songti SC"/>
                <w:b w:val="0"/>
                <w:i w:val="0"/>
                <w:sz w:val="17"/>
              </w:rPr>
              <w:t>DeepH / DeepKS 并行扩展性记录</w:t>
            </w:r>
          </w:p>
        </w:tc>
        <w:tc>
          <w:tcPr>
            <w:tcW w:type="dxa" w:w="6696"/>
            <w:tcMar>
              <w:top w:w="80" w:type="dxa"/>
              <w:start w:w="90" w:type="dxa"/>
              <w:bottom w:w="80" w:type="dxa"/>
              <w:end w:w="90" w:type="dxa"/>
            </w:tcMar>
            <w:vAlign w:val="center"/>
          </w:tcPr>
          <w:p>
            <w:pPr>
              <w:spacing w:before="0" w:after="0" w:line="259" w:lineRule="auto"/>
              <w:jc w:val="left"/>
            </w:pPr>
            <w:r/>
            <w:r>
              <w:rPr>
                <w:rFonts w:ascii="Times New Roman" w:hAnsi="Times New Roman" w:eastAsia="Songti SC"/>
                <w:b w:val="0"/>
                <w:i w:val="0"/>
                <w:sz w:val="17"/>
              </w:rPr>
              <w:t>覆盖 1 到 1024 节点</w:t>
            </w:r>
          </w:p>
        </w:tc>
      </w:tr>
    </w:tbl>
    <w:p>
      <w:pPr>
        <w:spacing w:before="0" w:after="80" w:line="293" w:lineRule="auto"/>
      </w:pPr>
    </w:p>
    <w:sectPr w:rsidR="00FC693F" w:rsidRPr="0006063C" w:rsidSect="00034616">
      <w:pgSz w:w="12240" w:h="15840"/>
      <w:pgMar w:top="1181" w:right="1181" w:bottom="1181"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Times New Roman" w:hAnsi="Times New Roman" w:eastAsia="Songti SC"/>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93" w:lineRule="auto"/>
      <w:outlineLvl w:val="0"/>
    </w:pPr>
    <w:rPr>
      <w:rFonts w:asciiTheme="majorHAnsi" w:eastAsiaTheme="majorEastAsia" w:hAnsiTheme="majorHAnsi" w:cstheme="majorBidi" w:ascii="Times New Roman" w:hAnsi="Times New Roman" w:eastAsia="Songti SC"/>
      <w:b/>
      <w:bCs/>
      <w:color w:val="000000"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120" w:line="293" w:lineRule="auto"/>
      <w:outlineLvl w:val="1"/>
    </w:pPr>
    <w:rPr>
      <w:rFonts w:asciiTheme="majorHAnsi" w:eastAsiaTheme="majorEastAsia" w:hAnsiTheme="majorHAnsi" w:cstheme="majorBidi" w:ascii="Times New Roman" w:hAnsi="Times New Roman" w:eastAsia="Songti SC"/>
      <w:b/>
      <w:bCs/>
      <w:color w:val="000000"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