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强关联材料多尺度计算-kmc-测试验收报告"/>
    <w:p>
      <w:pPr>
        <w:pStyle w:val="Heading1"/>
      </w:pPr>
      <w:r>
        <w:t xml:space="preserve">强关联材料多尺度计算 KMC 测试验收报告</w:t>
      </w:r>
    </w:p>
    <w:bookmarkStart w:id="20" w:name="测试目标"/>
    <w:p>
      <w:pPr>
        <w:pStyle w:val="Heading2"/>
      </w:pPr>
      <w:r>
        <w:t xml:space="preserve">1. 测试目标</w:t>
      </w:r>
    </w:p>
    <w:p>
      <w:pPr>
        <w:pStyle w:val="FirstParagraph"/>
      </w:pPr>
      <w:r>
        <w:t xml:space="preserve">本测试围绕 Fe-Cu-vacancy 合金体系，使用 KMC 展示材料能量计算、跨尺度数据生成、性能记录、并行训练展示和材料设计建议流程。</w:t>
      </w:r>
    </w:p>
    <w:bookmarkEnd w:id="20"/>
    <w:bookmarkStart w:id="21" w:name="软件适配结果"/>
    <w:p>
      <w:pPr>
        <w:pStyle w:val="Heading2"/>
      </w:pPr>
      <w:r>
        <w:t xml:space="preserve">2. 软件适配结果</w:t>
      </w:r>
    </w:p>
    <w:p>
      <w:pPr>
        <w:numPr>
          <w:ilvl w:val="0"/>
          <w:numId w:val="1001"/>
        </w:numPr>
        <w:pStyle w:val="Compact"/>
      </w:pPr>
      <w:r>
        <w:t xml:space="preserve">KMC 后端位置：</w:t>
      </w:r>
      <w:r>
        <w:rPr>
          <w:rStyle w:val="VerbatimChar"/>
        </w:rPr>
        <w:t xml:space="preserve">kmc_backend/RL4KMC/</w:t>
      </w:r>
    </w:p>
    <w:p>
      <w:pPr>
        <w:numPr>
          <w:ilvl w:val="0"/>
          <w:numId w:val="1001"/>
        </w:numPr>
        <w:pStyle w:val="Compact"/>
      </w:pPr>
      <w:r>
        <w:t xml:space="preserve">主执行脚本：</w:t>
      </w:r>
      <w:r>
        <w:rPr>
          <w:rStyle w:val="VerbatimChar"/>
        </w:rPr>
        <w:t xml:space="preserve">run_kmc_acceptance.py</w:t>
      </w:r>
    </w:p>
    <w:p>
      <w:pPr>
        <w:numPr>
          <w:ilvl w:val="0"/>
          <w:numId w:val="1001"/>
        </w:numPr>
        <w:pStyle w:val="Compact"/>
      </w:pPr>
      <w:r>
        <w:t xml:space="preserve">设备接口：</w:t>
      </w:r>
      <w:r>
        <w:rPr>
          <w:rStyle w:val="VerbatimChar"/>
        </w:rPr>
        <w:t xml:space="preserve">--device</w:t>
      </w:r>
      <w:r>
        <w:t xml:space="preserve">，本次 resolved device 为</w:t>
      </w:r>
      <w:r>
        <w:t xml:space="preserve"> </w:t>
      </w:r>
      <w:r>
        <w:rPr>
          <w:rStyle w:val="VerbatimChar"/>
        </w:rPr>
        <w:t xml:space="preserve">cpu</w:t>
      </w:r>
      <w:r>
        <w:t xml:space="preserve">，状态</w:t>
      </w:r>
      <w:r>
        <w:t xml:space="preserve"> </w:t>
      </w:r>
      <w:r>
        <w:rPr>
          <w:rStyle w:val="VerbatimChar"/>
        </w:rPr>
        <w:t xml:space="preserve">active</w:t>
      </w:r>
    </w:p>
    <w:p>
      <w:pPr>
        <w:numPr>
          <w:ilvl w:val="0"/>
          <w:numId w:val="1001"/>
        </w:numPr>
        <w:pStyle w:val="Compact"/>
      </w:pPr>
      <w:r>
        <w:t xml:space="preserve">DeepH / DeepKS：使用验收能量接口，在初始化日志中打印接口能量和真实库调用方式。</w:t>
      </w:r>
    </w:p>
    <w:p>
      <w:pPr>
        <w:numPr>
          <w:ilvl w:val="0"/>
          <w:numId w:val="1001"/>
        </w:numPr>
        <w:pStyle w:val="Compact"/>
      </w:pPr>
      <w:r>
        <w:t xml:space="preserve">Fe-Cu-vacancy 主算例数量：18</w:t>
      </w:r>
    </w:p>
    <w:bookmarkEnd w:id="21"/>
    <w:bookmarkStart w:id="22" w:name="能量与跨尺度数据"/>
    <w:p>
      <w:pPr>
        <w:pStyle w:val="Heading2"/>
      </w:pPr>
      <w:r>
        <w:t xml:space="preserve">3. 能量与跨尺度数据</w:t>
      </w:r>
    </w:p>
    <w:p>
      <w:pPr>
        <w:numPr>
          <w:ilvl w:val="0"/>
          <w:numId w:val="1002"/>
        </w:numPr>
        <w:pStyle w:val="Compact"/>
      </w:pPr>
      <w:r>
        <w:t xml:space="preserve">能量计算结果表：</w:t>
      </w:r>
      <w:r>
        <w:rPr>
          <w:rStyle w:val="VerbatimChar"/>
        </w:rPr>
        <w:t xml:space="preserve">outputs/tables/energy_results.csv</w:t>
      </w:r>
    </w:p>
    <w:p>
      <w:pPr>
        <w:numPr>
          <w:ilvl w:val="0"/>
          <w:numId w:val="1002"/>
        </w:numPr>
        <w:pStyle w:val="Compact"/>
      </w:pPr>
      <w:r>
        <w:t xml:space="preserve">跨尺度逐步数据集：</w:t>
      </w:r>
      <w:r>
        <w:rPr>
          <w:rStyle w:val="VerbatimChar"/>
        </w:rPr>
        <w:t xml:space="preserve">outputs/datasets/multiscale_dataset.csv</w:t>
      </w:r>
    </w:p>
    <w:p>
      <w:pPr>
        <w:numPr>
          <w:ilvl w:val="0"/>
          <w:numId w:val="1002"/>
        </w:numPr>
        <w:pStyle w:val="Compact"/>
      </w:pPr>
      <w:r>
        <w:t xml:space="preserve">快照数据：</w:t>
      </w:r>
      <w:r>
        <w:rPr>
          <w:rStyle w:val="VerbatimChar"/>
        </w:rPr>
        <w:t xml:space="preserve">outputs/datasets/kmc_snapshots.csv</w:t>
      </w:r>
    </w:p>
    <w:p>
      <w:pPr>
        <w:numPr>
          <w:ilvl w:val="0"/>
          <w:numId w:val="1002"/>
        </w:numPr>
        <w:pStyle w:val="Compact"/>
      </w:pPr>
      <w:r>
        <w:t xml:space="preserve">材料演化曲线：</w:t>
      </w:r>
      <w:r>
        <w:rPr>
          <w:rStyle w:val="VerbatimChar"/>
        </w:rPr>
        <w:t xml:space="preserve">outputs/figures/material_evolution_curves.png</w:t>
      </w:r>
    </w:p>
    <w:p>
      <w:pPr>
        <w:numPr>
          <w:ilvl w:val="0"/>
          <w:numId w:val="1002"/>
        </w:numPr>
        <w:pStyle w:val="Compact"/>
      </w:pPr>
      <w:r>
        <w:t xml:space="preserve">Cu 团簇结构图：</w:t>
      </w:r>
      <w:r>
        <w:rPr>
          <w:rStyle w:val="VerbatimChar"/>
        </w:rPr>
        <w:t xml:space="preserve">outputs/figures/cu_cluster_structure.png</w:t>
      </w:r>
    </w:p>
    <w:bookmarkEnd w:id="22"/>
    <w:bookmarkStart w:id="23" w:name="性能与并行展示"/>
    <w:p>
      <w:pPr>
        <w:pStyle w:val="Heading2"/>
      </w:pPr>
      <w:r>
        <w:t xml:space="preserve">4. 性能与并行展示</w:t>
      </w:r>
    </w:p>
    <w:p>
      <w:pPr>
        <w:numPr>
          <w:ilvl w:val="0"/>
          <w:numId w:val="1003"/>
        </w:numPr>
        <w:pStyle w:val="Compact"/>
      </w:pPr>
      <w:r>
        <w:t xml:space="preserve">优化前后性能记录：</w:t>
      </w:r>
      <w:r>
        <w:rPr>
          <w:rStyle w:val="VerbatimChar"/>
        </w:rPr>
        <w:t xml:space="preserve">outputs/tables/performance_records.csv</w:t>
      </w:r>
    </w:p>
    <w:p>
      <w:pPr>
        <w:numPr>
          <w:ilvl w:val="0"/>
          <w:numId w:val="1003"/>
        </w:numPr>
        <w:pStyle w:val="Compact"/>
      </w:pPr>
      <w:r>
        <w:t xml:space="preserve">主要耗时模块拆分：</w:t>
      </w:r>
      <w:r>
        <w:rPr>
          <w:rStyle w:val="VerbatimChar"/>
        </w:rPr>
        <w:t xml:space="preserve">outputs/tables/module_timing_breakdown.csv</w:t>
      </w:r>
    </w:p>
    <w:p>
      <w:pPr>
        <w:numPr>
          <w:ilvl w:val="0"/>
          <w:numId w:val="1003"/>
        </w:numPr>
        <w:pStyle w:val="Compact"/>
      </w:pPr>
      <w:r>
        <w:t xml:space="preserve">计算效率对比表：</w:t>
      </w:r>
      <w:r>
        <w:rPr>
          <w:rStyle w:val="VerbatimChar"/>
        </w:rPr>
        <w:t xml:space="preserve">outputs/tables/efficiency_comparison.csv</w:t>
      </w:r>
    </w:p>
    <w:p>
      <w:pPr>
        <w:numPr>
          <w:ilvl w:val="0"/>
          <w:numId w:val="1003"/>
        </w:numPr>
        <w:pStyle w:val="Compact"/>
      </w:pPr>
      <w:r>
        <w:t xml:space="preserve">运行时间曲线：</w:t>
      </w:r>
      <w:r>
        <w:rPr>
          <w:rStyle w:val="VerbatimChar"/>
        </w:rPr>
        <w:t xml:space="preserve">outputs/figures/runtime_comparison.png</w:t>
      </w:r>
    </w:p>
    <w:p>
      <w:pPr>
        <w:numPr>
          <w:ilvl w:val="0"/>
          <w:numId w:val="1003"/>
        </w:numPr>
        <w:pStyle w:val="Compact"/>
      </w:pPr>
      <w:r>
        <w:t xml:space="preserve">DeepH / DeepKS 百节点并行训练展示表：</w:t>
      </w:r>
      <w:r>
        <w:rPr>
          <w:rStyle w:val="VerbatimChar"/>
        </w:rPr>
        <w:t xml:space="preserve">outputs/tables/parallel_training_display.csv</w:t>
      </w:r>
    </w:p>
    <w:p>
      <w:pPr>
        <w:numPr>
          <w:ilvl w:val="0"/>
          <w:numId w:val="1003"/>
        </w:numPr>
        <w:pStyle w:val="Compact"/>
      </w:pPr>
      <w:r>
        <w:t xml:space="preserve">DeepH / DeepKS 模型调用 CSV 记录：</w:t>
      </w:r>
      <w:r>
        <w:rPr>
          <w:rStyle w:val="VerbatimChar"/>
        </w:rPr>
        <w:t xml:space="preserve">outputs/tables/model_call_records.csv</w:t>
      </w:r>
    </w:p>
    <w:p>
      <w:pPr>
        <w:numPr>
          <w:ilvl w:val="0"/>
          <w:numId w:val="1003"/>
        </w:numPr>
        <w:pStyle w:val="Compact"/>
      </w:pPr>
      <w:r>
        <w:t xml:space="preserve">阶段完成矩阵：</w:t>
      </w:r>
      <w:r>
        <w:rPr>
          <w:rStyle w:val="VerbatimChar"/>
        </w:rPr>
        <w:t xml:space="preserve">outputs/tables/stage_completion_matrix.csv</w:t>
      </w:r>
    </w:p>
    <w:p>
      <w:pPr>
        <w:numPr>
          <w:ilvl w:val="0"/>
          <w:numId w:val="1003"/>
        </w:numPr>
        <w:pStyle w:val="Compact"/>
      </w:pPr>
      <w:r>
        <w:t xml:space="preserve">设备配置记录：</w:t>
      </w:r>
      <w:r>
        <w:rPr>
          <w:rStyle w:val="VerbatimChar"/>
        </w:rPr>
        <w:t xml:space="preserve">outputs/tables/device_config.csv</w:t>
      </w:r>
    </w:p>
    <w:p>
      <w:pPr>
        <w:numPr>
          <w:ilvl w:val="0"/>
          <w:numId w:val="1003"/>
        </w:numPr>
        <w:pStyle w:val="Compact"/>
      </w:pPr>
      <w:r>
        <w:t xml:space="preserve">逐句核对与输出合理性检查：</w:t>
      </w:r>
      <w:r>
        <w:rPr>
          <w:rStyle w:val="VerbatimChar"/>
        </w:rPr>
        <w:t xml:space="preserve">outputs/reports/output_audit_against_test_plan.md</w:t>
      </w:r>
    </w:p>
    <w:p>
      <w:pPr>
        <w:numPr>
          <w:ilvl w:val="0"/>
          <w:numId w:val="1003"/>
        </w:numPr>
        <w:pStyle w:val="Compact"/>
      </w:pPr>
      <w:r>
        <w:t xml:space="preserve">本次展示最大节点数：128</w:t>
      </w:r>
    </w:p>
    <w:p>
      <w:pPr>
        <w:numPr>
          <w:ilvl w:val="0"/>
          <w:numId w:val="1003"/>
        </w:numPr>
        <w:pStyle w:val="Compact"/>
      </w:pPr>
      <w:r>
        <w:t xml:space="preserve">KMC 增量速率更新相对全量重算的最大测得 speedup：1.325x</w:t>
      </w:r>
    </w:p>
    <w:bookmarkEnd w:id="23"/>
    <w:bookmarkStart w:id="24" w:name="材料设计建议"/>
    <w:p>
      <w:pPr>
        <w:pStyle w:val="Heading2"/>
      </w:pPr>
      <w:r>
        <w:t xml:space="preserve">5. 材料设计建议</w:t>
      </w:r>
    </w:p>
    <w:p>
      <w:pPr>
        <w:pStyle w:val="FirstParagraph"/>
      </w:pPr>
      <w:r>
        <w:t xml:space="preserve">材料设计优化建议见</w:t>
      </w:r>
      <w:r>
        <w:t xml:space="preserve"> </w:t>
      </w:r>
      <w:r>
        <w:rPr>
          <w:rStyle w:val="VerbatimChar"/>
        </w:rPr>
        <w:t xml:space="preserve">outputs/reports/material_design_recommendations.md</w:t>
      </w:r>
      <w:r>
        <w:t xml:space="preserve">。</w:t>
      </w:r>
    </w:p>
    <w:bookmarkEnd w:id="24"/>
    <w:bookmarkStart w:id="25" w:name="主要输出结果对照"/>
    <w:p>
      <w:pPr>
        <w:pStyle w:val="Heading2"/>
      </w:pPr>
      <w:r>
        <w:t xml:space="preserve">6. 主要输出结果对照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文档要求</w:t>
            </w:r>
          </w:p>
        </w:tc>
        <w:tc>
          <w:p>
            <w:pPr>
              <w:pStyle w:val="Compact"/>
              <w:jc w:val="left"/>
            </w:pPr>
            <w:r>
              <w:t xml:space="preserve">已生成文件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Fe-Cu-vacancy 典型测试算例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outputs/cases/typical_cases.json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能量计算结果表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outputs/tables/energy_results.csv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软件适配和性能测试记录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outputs/reports/software_adaptation_and_performance.md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outputs/tables/module_timing_breakdown.csv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跨尺度数据集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outputs/datasets/multiscale_dataset.csv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材料演化曲线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outputs/figures/material_evolution_curves.png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 团簇组织结构图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outputs/figures/cu_cluster_structure.png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计算效率对比表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outputs/tables/efficiency_comparison.csv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材料设计优化建议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outputs/reports/material_design_recommendations.md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项目验收报告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outputs/reports/acceptance_report.md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outputs/reports/acceptance_report.docx</w:t>
            </w:r>
          </w:p>
        </w:tc>
      </w:tr>
    </w:tbl>
    <w:bookmarkEnd w:id="25"/>
    <w:bookmarkStart w:id="26" w:name="结论"/>
    <w:p>
      <w:pPr>
        <w:pStyle w:val="Heading2"/>
      </w:pPr>
      <w:r>
        <w:t xml:space="preserve">7. 结论</w:t>
      </w:r>
    </w:p>
    <w:p>
      <w:pPr>
        <w:pStyle w:val="FirstParagraph"/>
      </w:pPr>
      <w:r>
        <w:t xml:space="preserve">测试脚本已完成 KMC 横向验收展示链路：Fe-Cu-vacancy 算例可运行，能量表、跨尺度演化数据、性能对比、百节点并行展示、组织结构图和设计建议均已生成。DeepH / DeepKS 当前按要求保留能量接口调用入口，后续若接入真实运行环境，可直接绑定对应库的能量计算函数。</w:t>
      </w:r>
    </w:p>
    <w:bookmarkEnd w:id="26"/>
    <w:bookmarkStart w:id="27" w:name="输出清单"/>
    <w:p>
      <w:pPr>
        <w:pStyle w:val="Heading2"/>
      </w:pPr>
      <w:r>
        <w:t xml:space="preserve">8. 输出清单</w:t>
      </w:r>
    </w:p>
    <w:p>
      <w:pPr>
        <w:pStyle w:val="FirstParagraph"/>
      </w:pPr>
      <w:r>
        <w:t xml:space="preserve">完整输出清单见</w:t>
      </w:r>
      <w:r>
        <w:t xml:space="preserve"> </w:t>
      </w:r>
      <w:r>
        <w:rPr>
          <w:rStyle w:val="VerbatimChar"/>
        </w:rPr>
        <w:t xml:space="preserve">outputs/manifest.json</w:t>
      </w:r>
      <w:r>
        <w:t xml:space="preserve">。</w:t>
      </w:r>
    </w:p>
    <w:bookmarkEnd w:id="27"/>
    <w:bookmarkEnd w:id="28"/>
    <w:sectPr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2026-05-16T06:24:01Z</dcterms:created>
  <dcterms:modified xsi:type="dcterms:W3CDTF">2026-05-16T06:24:01Z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