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EB77D1">
      <w:pPr>
        <w:spacing w:before="480" w:after="480" w:line="288" w:lineRule="auto"/>
        <w:ind w:left="0"/>
      </w:pPr>
      <w:bookmarkStart w:id="19" w:name="_GoBack"/>
      <w:bookmarkEnd w:id="19"/>
      <w:r>
        <w:rPr>
          <w:rFonts w:ascii="Arial" w:hAnsi="Arial" w:eastAsia="等线" w:cs="Arial"/>
          <w:b/>
          <w:sz w:val="52"/>
        </w:rPr>
        <w:t>YOLOv8/YLOv10 儿童腕部骨折智能分级检测系统</w:t>
      </w:r>
    </w:p>
    <w:p w14:paraId="3FBCCFA4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系统说明文档</w:t>
      </w:r>
      <w:bookmarkEnd w:id="0"/>
    </w:p>
    <w:p w14:paraId="286AE3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（适配毕设提交，可直接复制粘贴至Word，格式规范、内容完整，包含分级判定逻辑、模型说明、使用教程等核心内容）</w:t>
      </w:r>
    </w:p>
    <w:p w14:paraId="41C9FDC4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 系统概述</w:t>
      </w:r>
      <w:bookmarkEnd w:id="1"/>
    </w:p>
    <w:p w14:paraId="7C6654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基于YOLOv8s、YOLOv10s双模型，针对GRAZPEDWRI-DX儿童腕部X光公开数据集开发，实现X光影像病灶自动检测与医学后置逻辑骨折智能分级。系统摒弃模型直接输出分级类别的方式，先检测原始病灶，再依据医学影像学标准规则自动计算轻/中/重度骨折等级，可解释性、稳定性均符合临床辅助诊断需求，同时适配毕设实验要求。</w:t>
      </w:r>
    </w:p>
    <w:p w14:paraId="0F1F85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核心功能：用户登录注册、X光图片检测、双模型对比、骨折分级判定、检测结果保存、分级依据可视化展示。</w:t>
      </w:r>
    </w:p>
    <w:p w14:paraId="156984FF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2. 模型与数据集说明</w:t>
      </w:r>
      <w:bookmarkEnd w:id="2"/>
    </w:p>
    <w:p w14:paraId="4A3679FA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2.1 数据集类别定义</w:t>
      </w:r>
      <w:bookmarkEnd w:id="3"/>
    </w:p>
    <w:p w14:paraId="4BB7E6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本系统所使用的数据集严格定义4类病灶，与模型训练配置完全一致，具体如下：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9AD48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A064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yaml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nc: 4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names: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0: fracture          # 骨折（核心必要病灶）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1: periostealreaction # 骨膜反应（高优先级伴随病灶）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2: pronatorsign      # 旋前征（中度骨折伴随病灶）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3: softtissue        # 软组织肿胀（中度骨折伴随病灶）</w:t>
            </w:r>
          </w:p>
        </w:tc>
      </w:tr>
    </w:tbl>
    <w:p w14:paraId="2B11518E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2.2 训练模型信息</w:t>
      </w:r>
      <w:bookmarkEnd w:id="4"/>
    </w:p>
    <w:p w14:paraId="0E3BB7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系统采用双模型架构，两个模型均基于上述4类数据集完成100轮完整训练，支持GPU/CPU双模式推理，具体信息如下：</w:t>
      </w:r>
    </w:p>
    <w:p w14:paraId="6B63D38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YOLOv8s 骨折检测模型：训练路径为train6/weights/best.pt，部署后路径为./weights/yolov8_best.pt</w:t>
      </w:r>
    </w:p>
    <w:p w14:paraId="40AF300F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YOLOv10s 骨折检测模型：训练路径为train8/weights/best.pt，部署后路径为./weights/yolov10_best.pt</w:t>
      </w:r>
    </w:p>
    <w:p w14:paraId="0E8F590E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系统支持双模型一键切换、同图对比检测，可直观对比两个模型的检测性能差异。</w:t>
      </w:r>
    </w:p>
    <w:p w14:paraId="5561C519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3. 骨折分级医学判定逻辑（核心内容）</w:t>
      </w:r>
      <w:bookmarkEnd w:id="5"/>
    </w:p>
    <w:p w14:paraId="0FAB5B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本系统采用“后置医学规则融合分级”方式，而非模型直接分类，完全基于GRAZPEDWRI-DX数据集原始标注定义，分级逻辑严格遵循儿童腕部骨折影像学诊断标准，可解释性强，符合毕设论文要求。</w:t>
      </w:r>
    </w:p>
    <w:p w14:paraId="530D6E75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3.1 分级医学依据</w:t>
      </w:r>
      <w:bookmarkEnd w:id="6"/>
    </w:p>
    <w:p w14:paraId="3D57FD14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轻度骨折：单纯裂隙骨折、青枝骨折，无任何伴随损伤</w:t>
      </w:r>
    </w:p>
    <w:p w14:paraId="51180DAA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中度骨折：骨折伴随软组织肿胀、旋前征（提示骨折移位）</w:t>
      </w:r>
    </w:p>
    <w:p w14:paraId="1603D4D3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重度骨折：骨折伴随骨膜反应（提示不稳定骨折、陈旧进展骨折）</w:t>
      </w:r>
    </w:p>
    <w:p w14:paraId="78AB3B19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3.2 精确判定规则（优先级从高到低）</w:t>
      </w:r>
      <w:bookmarkEnd w:id="7"/>
    </w:p>
    <w:p w14:paraId="23140B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系统逐图提取所有检测到的病灶，按以下优先级逻辑自动判断最终骨折等级，优先级越高，判定权重越大，一旦满足高优先级条件，即停止后续判断：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D9F0E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059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AD0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骨折等级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9B7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判定条件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094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医学含义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34F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界面展示颜色</w:t>
            </w:r>
          </w:p>
        </w:tc>
      </w:tr>
      <w:tr w14:paraId="495C44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896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1（最高）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D47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重度骨折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9CA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检测到fracture（骨折），且检测到periostealreaction（骨膜反应），无论是否存在其他病灶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DDD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不稳定骨折、陈旧进展骨折、骨膜炎症刺激、严重移位骨折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913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红色</w:t>
            </w:r>
          </w:p>
        </w:tc>
      </w:tr>
      <w:tr w14:paraId="64B0A5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B5B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A7B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中度骨折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218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检测到fracture（骨折），且检测到softtissue（软组织肿胀）或pronatorsign（旋前征）任意一种，无骨膜反应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97D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骨折移位、周围软组织肿胀、出血损伤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588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橙色</w:t>
            </w:r>
          </w:p>
        </w:tc>
      </w:tr>
      <w:tr w14:paraId="1CC0F9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03A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FAC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轻度骨折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C6E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仅检测到fracture（骨折），无软组织肿胀、无旋前征、无骨膜反应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CA7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单纯裂隙骨折、轻微青枝骨折、无移位骨折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68C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绿色</w:t>
            </w:r>
          </w:p>
        </w:tc>
      </w:tr>
      <w:tr w14:paraId="7729A7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BB3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BDB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未见骨折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475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未检测到fracture（骨折）病灶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448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X光影像中未见明确骨折异常征象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011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灰色</w:t>
            </w:r>
          </w:p>
        </w:tc>
      </w:tr>
    </w:tbl>
    <w:p w14:paraId="25FBB6B9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3.3 判定执行流程</w:t>
      </w:r>
      <w:bookmarkEnd w:id="8"/>
    </w:p>
    <w:p w14:paraId="5A556302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模型对整张X光图片进行检测，输出所有4类病灶的位置、置信度等信息；</w:t>
      </w:r>
    </w:p>
    <w:p w14:paraId="4B960FCC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程序收集当前图片的全部检测结果，筛选有效病灶（排除置信度低于阈值的结果）；</w:t>
      </w:r>
    </w:p>
    <w:p w14:paraId="48A97B24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按上述优先级医学规则，后置计算最终骨折等级及判定依据；</w:t>
      </w:r>
    </w:p>
    <w:p w14:paraId="36D6D80A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界面可视化展示：原始病灶检测框（统一蓝色）+ 醒目分级结论 + 分级依据文字，确保可解释性。</w:t>
      </w:r>
    </w:p>
    <w:p w14:paraId="525349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注：检测框仅显示原始病灶名称及置信度，不直接标注骨折分级，分级结果单独以醒目文字展示，符合医学辅助诊断的直观性要求。</w:t>
      </w:r>
    </w:p>
    <w:p w14:paraId="2BB25A65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4. 系统界面与功能说明</w:t>
      </w:r>
      <w:bookmarkEnd w:id="9"/>
    </w:p>
    <w:p w14:paraId="18C15901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4.1 登录模块</w:t>
      </w:r>
      <w:bookmarkEnd w:id="10"/>
    </w:p>
    <w:p w14:paraId="126BA9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系统采用本地JSON文件（accounts.json）存储用户账号密码，无需额外数据库，开箱即用，核心功能包括：</w:t>
      </w:r>
    </w:p>
    <w:p w14:paraId="33A4C9A7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用户注册：支持新用户注册，包含用户名唯一性校验、密码长度校验（至少6位）；</w:t>
      </w:r>
    </w:p>
    <w:p w14:paraId="0422C5D2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用户登录：验证账号密码正确性，错误时给出友好提示，登录成功后跳转至主界面；</w:t>
      </w:r>
    </w:p>
    <w:p w14:paraId="2FF5B820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数据安全：账号密码本地存储，不联网、不泄露，适配毕设本地部署需求。</w:t>
      </w:r>
    </w:p>
    <w:p w14:paraId="26BD3AF6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4.2 主界面布局（医疗科技风，自适应设计）</w:t>
      </w:r>
      <w:bookmarkEnd w:id="11"/>
    </w:p>
    <w:p w14:paraId="4D337D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主界面采用左-中-右三栏布局，适配任意窗口缩放、最大化、最小化，无文字错乱、无控件挤压、无图片拉伸变形，具体布局如下：</w:t>
      </w:r>
    </w:p>
    <w:p w14:paraId="7503E7BA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左侧：原始X光图像显示区，用于展示上传的未处理X光图片，支持等比例缩放，保持图像完整性；</w:t>
      </w:r>
    </w:p>
    <w:p w14:paraId="2560702E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中间：检测结果图像显示区，仅绘制所有有效病灶的检测框（统一为医疗蓝#165DFF），框内显示“病灶名称+置信度”，清晰展示病灶位置；</w:t>
      </w:r>
    </w:p>
    <w:p w14:paraId="70506E3B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右侧：控制面板与结果展示区，包含4个核心部分：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717842C3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模型选择：下拉框选择YOLOv8s、YOLOv10s，一键切换模型，自动加载对应权重；</w:t>
      </w:r>
    </w:p>
    <w:p w14:paraId="6C353319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参数调节：置信度阈值、IoU阈值调节，支持实时生效，适配不同检测需求；</w:t>
      </w:r>
    </w:p>
    <w:p w14:paraId="1AD5D613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功能按钮：图片检测、结果保存、双模型对比，操作简洁，逻辑清晰；</w:t>
      </w:r>
    </w:p>
    <w:p w14:paraId="5372C37B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分级结论展示区（核心）：以醒目大字体显示最终骨折等级，下方标注判定依据，颜色对应分级（红/橙/绿/灰）；</w:t>
      </w:r>
    </w:p>
    <w:p w14:paraId="054367C9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病灶详情表格：展示所有检测到的原始病灶信息，包含“病灶类型、置信度、位置”三列，便于查看原始检测数据。</w:t>
      </w:r>
    </w:p>
    <w:p w14:paraId="6FEB1C44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4.3 系统已移除功能</w:t>
      </w:r>
      <w:bookmarkEnd w:id="12"/>
    </w:p>
    <w:p w14:paraId="4A52FD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为适配儿童腕部X光静态检测的医学场景，同时精简系统、避免冗余，系统已永久移除视频检测、摄像头实时检测相关的所有代码、UI按钮及线程，仅保留X光图片静态检测功能。</w:t>
      </w:r>
    </w:p>
    <w:p w14:paraId="5FAC2811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5. YOLOv8s与YOLOv10s模型对比说明</w:t>
      </w:r>
      <w:bookmarkEnd w:id="13"/>
    </w:p>
    <w:p w14:paraId="7724B3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两个模型基于相同的4类数据集、相同的训练参数（100轮训练），训练及推理性能对比如下，可直接用于毕设论文实验分析：</w:t>
      </w:r>
    </w:p>
    <w:p w14:paraId="4CF5BCDE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YOLOv8s：训练过程稳定，无震荡现象，最终性能指标为mAP50=75.33%、mAP50-95=42.80%，小目标骨折（如裂隙骨折）检测鲁棒性更强；</w:t>
      </w:r>
    </w:p>
    <w:p w14:paraId="6C929C42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YOLOv10s：训练前期存在轻微震荡，偶现NaN异常，最终mAP指标略低于YOLOv8s，但推理速度更快，适合快速检测场景；</w:t>
      </w:r>
    </w:p>
    <w:p w14:paraId="1653D7C4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系统支持一键同图双模型对比，左右分屏同步展示两个模型的病灶检测结果与分级结论，自动输出对比指标（检测框数量、最高严重等级、平均置信度）及优劣结论，便于实验数据收集与分析。</w:t>
      </w:r>
    </w:p>
    <w:p w14:paraId="1AE2C6DC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6. 系统部署与运行教程</w:t>
      </w:r>
      <w:bookmarkEnd w:id="14"/>
    </w:p>
    <w:p w14:paraId="2B14C9A0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6.1 项目目录结构</w:t>
      </w:r>
      <w:bookmarkEnd w:id="15"/>
    </w:p>
    <w:p w14:paraId="43653D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系统所有文件均放置于newprogram文件夹中，目录结构清晰，便于部署与管理，具体如下：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F420E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7F78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newprogram/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main.py            # 主程序入口，直接运行即可启动系统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UiMain.py          # 美化后的自适应UI界面代码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LoginWindow.py     # 登录注册窗口代码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accounts.json      # 本地用户账户存储文件（自动生成）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 weights/           # 模型权重文件夹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├─ yolov8_best.pt  # YOLOv8s模型权重（来自train6/weights/best.pt）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└─ yolov10_best.pt # YOLOv10s模型权重（来自train8/weights/best.pt）</w:t>
            </w:r>
          </w:p>
        </w:tc>
      </w:tr>
    </w:tbl>
    <w:p w14:paraId="122F89BE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6.2 运行步骤</w:t>
      </w:r>
      <w:bookmarkEnd w:id="16"/>
    </w:p>
    <w:p w14:paraId="215F2B33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模型准备：将服务器训练好的train6/weights/best.pt、train8/weights/best.pt复制到newprogram/weights文件夹中，并重命名为yolov8_best.pt、yolov10_best.pt；</w:t>
      </w:r>
    </w:p>
    <w:p w14:paraId="40C62715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依赖安装：打开命令行，进入newprogram文件夹，执行命令：pip install ultralytics PyQt5 opencv-python，安装所需依赖包；</w:t>
      </w:r>
    </w:p>
    <w:p w14:paraId="7BA933C2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启动系统：直接运行main.py文件，无需额外配置；</w:t>
      </w:r>
    </w:p>
    <w:p w14:paraId="3E46EE84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操作流程：登录账号 → 选择模型 → 点击“图片检测”上传X光图片 → 系统自动检测并输出分级结论 → 查看分级依据与病灶详情 → 点击“保存结果”保存检测图片。</w:t>
      </w:r>
    </w:p>
    <w:p w14:paraId="5F4155A8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6.3 常见问题解决</w:t>
      </w:r>
      <w:bookmarkEnd w:id="17"/>
    </w:p>
    <w:p w14:paraId="1DE52FDB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模型加载失败：检查weights文件夹是否存在，模型文件是否命名正确、未损坏；</w:t>
      </w:r>
    </w:p>
    <w:p w14:paraId="391453E2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图片无法检测：检查图片格式（支持jpg、jpeg、png、bmp），确保图片未损坏；</w:t>
      </w:r>
    </w:p>
    <w:p w14:paraId="0059BD5B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界面错乱：无需手动调整，系统支持自适应，最大化/缩放后自动适配。</w:t>
      </w:r>
    </w:p>
    <w:p w14:paraId="5694EBE0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7. 系统特点总结（毕设论文可用）</w:t>
      </w:r>
      <w:bookmarkEnd w:id="18"/>
    </w:p>
    <w:p w14:paraId="426282A2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医学逻辑性强：采用后置医学规则分级，而非模型直接分类，可解释性高，符合儿童腕部骨折临床诊断逻辑；</w:t>
      </w:r>
    </w:p>
    <w:p w14:paraId="0355CCE3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双模型对比：支持YOLOv8s与YOLOv10s一键对比，实验数据完整，便于毕设论文分析；</w:t>
      </w:r>
    </w:p>
    <w:p w14:paraId="678159F1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界面适配性好：医疗科技风设计，支持任意缩放、全屏，无BUG，操作简洁直观；</w:t>
      </w:r>
    </w:p>
    <w:p w14:paraId="1AF2774B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部署便捷：本地存储账号、本地推理，无需数据库、无需联网，开箱即用；</w:t>
      </w:r>
    </w:p>
    <w:p w14:paraId="1DFF6BC7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数据集适配：分级规则完全基于GRAZPEDWRI-DX数据集原始标注，无需额外人工标注，符合毕设实验要求。</w:t>
      </w:r>
    </w:p>
    <w:p w14:paraId="502C91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4B092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F0B53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239341B"/>
    <w:multiLevelType w:val="singleLevel"/>
    <w:tmpl w:val="9239341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C8AC8EF"/>
    <w:multiLevelType w:val="singleLevel"/>
    <w:tmpl w:val="9C8AC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E923771"/>
    <w:multiLevelType w:val="singleLevel"/>
    <w:tmpl w:val="BE92377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7F9FE59"/>
    <w:multiLevelType w:val="singleLevel"/>
    <w:tmpl w:val="D7F9FE5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DCBA6B53"/>
    <w:multiLevelType w:val="singleLevel"/>
    <w:tmpl w:val="DCBA6B5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F4B5D9F5"/>
    <w:multiLevelType w:val="singleLevel"/>
    <w:tmpl w:val="F4B5D9F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0248C179"/>
    <w:multiLevelType w:val="singleLevel"/>
    <w:tmpl w:val="0248C1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243FCF68"/>
    <w:multiLevelType w:val="singleLevel"/>
    <w:tmpl w:val="243FCF6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9">
    <w:nsid w:val="2470EC97"/>
    <w:multiLevelType w:val="singleLevel"/>
    <w:tmpl w:val="2470EC9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4C1BAE26"/>
    <w:multiLevelType w:val="singleLevel"/>
    <w:tmpl w:val="4C1BAE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">
    <w:nsid w:val="4D4DC07F"/>
    <w:multiLevelType w:val="singleLevel"/>
    <w:tmpl w:val="4D4DC07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">
    <w:nsid w:val="4D94DA66"/>
    <w:multiLevelType w:val="singleLevel"/>
    <w:tmpl w:val="4D94DA6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7">
    <w:nsid w:val="58765686"/>
    <w:multiLevelType w:val="singleLevel"/>
    <w:tmpl w:val="5876568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60382F6E"/>
    <w:multiLevelType w:val="singleLevel"/>
    <w:tmpl w:val="60382F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629F7852"/>
    <w:multiLevelType w:val="singleLevel"/>
    <w:tmpl w:val="629F785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2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77ECEA79"/>
    <w:multiLevelType w:val="singleLevel"/>
    <w:tmpl w:val="77ECEA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4">
    <w:nsid w:val="7C246926"/>
    <w:multiLevelType w:val="singleLevel"/>
    <w:tmpl w:val="7C2469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5">
    <w:nsid w:val="7DEC2089"/>
    <w:multiLevelType w:val="singleLevel"/>
    <w:tmpl w:val="7DEC2089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14"/>
  </w:num>
  <w:num w:numId="2">
    <w:abstractNumId w:val="10"/>
  </w:num>
  <w:num w:numId="3">
    <w:abstractNumId w:val="28"/>
  </w:num>
  <w:num w:numId="4">
    <w:abstractNumId w:val="8"/>
  </w:num>
  <w:num w:numId="5">
    <w:abstractNumId w:val="6"/>
  </w:num>
  <w:num w:numId="6">
    <w:abstractNumId w:val="16"/>
  </w:num>
  <w:num w:numId="7">
    <w:abstractNumId w:val="20"/>
  </w:num>
  <w:num w:numId="8">
    <w:abstractNumId w:val="32"/>
  </w:num>
  <w:num w:numId="9">
    <w:abstractNumId w:val="15"/>
  </w:num>
  <w:num w:numId="10">
    <w:abstractNumId w:val="2"/>
  </w:num>
  <w:num w:numId="11">
    <w:abstractNumId w:val="21"/>
  </w:num>
  <w:num w:numId="12">
    <w:abstractNumId w:val="29"/>
  </w:num>
  <w:num w:numId="13">
    <w:abstractNumId w:val="9"/>
  </w:num>
  <w:num w:numId="14">
    <w:abstractNumId w:val="25"/>
  </w:num>
  <w:num w:numId="15">
    <w:abstractNumId w:val="13"/>
  </w:num>
  <w:num w:numId="16">
    <w:abstractNumId w:val="19"/>
  </w:num>
  <w:num w:numId="17">
    <w:abstractNumId w:val="12"/>
  </w:num>
  <w:num w:numId="18">
    <w:abstractNumId w:val="11"/>
  </w:num>
  <w:num w:numId="19">
    <w:abstractNumId w:val="4"/>
  </w:num>
  <w:num w:numId="20">
    <w:abstractNumId w:val="24"/>
  </w:num>
  <w:num w:numId="21">
    <w:abstractNumId w:val="30"/>
  </w:num>
  <w:num w:numId="22">
    <w:abstractNumId w:val="17"/>
  </w:num>
  <w:num w:numId="23">
    <w:abstractNumId w:val="23"/>
  </w:num>
  <w:num w:numId="24">
    <w:abstractNumId w:val="5"/>
  </w:num>
  <w:num w:numId="25">
    <w:abstractNumId w:val="34"/>
  </w:num>
  <w:num w:numId="26">
    <w:abstractNumId w:val="33"/>
  </w:num>
  <w:num w:numId="27">
    <w:abstractNumId w:val="7"/>
  </w:num>
  <w:num w:numId="28">
    <w:abstractNumId w:val="31"/>
  </w:num>
  <w:num w:numId="29">
    <w:abstractNumId w:val="3"/>
  </w:num>
  <w:num w:numId="30">
    <w:abstractNumId w:val="22"/>
  </w:num>
  <w:num w:numId="31">
    <w:abstractNumId w:val="1"/>
  </w:num>
  <w:num w:numId="32">
    <w:abstractNumId w:val="27"/>
  </w:num>
  <w:num w:numId="33">
    <w:abstractNumId w:val="35"/>
  </w:num>
  <w:num w:numId="34">
    <w:abstractNumId w:val="0"/>
  </w:num>
  <w:num w:numId="35">
    <w:abstractNumId w:val="18"/>
  </w:num>
  <w:num w:numId="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0657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2774</Words>
  <Characters>3528</Characters>
  <TotalTime>1</TotalTime>
  <ScaleCrop>false</ScaleCrop>
  <LinksUpToDate>false</LinksUpToDate>
  <CharactersWithSpaces>3686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2026-04-19T10:23:00Z</dcterms:created>
  <dc:creator>Apache POI</dc:creator>
  <cp:lastModifiedBy>子墨</cp:lastModifiedBy>
  <dcterms:modified xsi:type="dcterms:W3CDTF">2026-05-03T13:25:32Z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A661997FECCC4B7EBCEEAA633990B485_13</vt:lpwstr>
  </property>
</Properties>
</file>