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YOLOv8/YLOv10 儿童腕部骨折智能分级检测系统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系统说明文档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（适配毕设提交，可直接复制粘贴至Word，格式规范、内容完整，包含分级判定逻辑、模型说明、使用教程等核心内容）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系统概述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基于YOLOv8s、YOLOv10s双模型，针对GRAZPEDWRI-DX儿童腕部X光公开数据集开发，实现X光影像病灶自动检测与医学后置逻辑骨折智能分级。系统摒弃模型直接输出分级类别的方式，先检测原始病灶，再依据医学影像学标准规则自动计算轻/中/重度骨折等级，可解释性、稳定性均符合临床辅助诊断需求，同时适配毕设实验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核心功能：用户登录注册、X光图片检测、双模型对比、骨折分级判定、检测结果保存、分级依据可视化展示。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模型与数据集说明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数据集类别定义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本系统所使用的数据集严格定义4类病灶，与模型训练配置完全一致，具体如下：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nc: 4</w:t>
              <w:br/>
              <w:t>names:</w:t>
              <w:br/>
              <w:t xml:space="preserve">  0: fracture          # 骨折（核心必要病灶）</w:t>
              <w:br/>
              <w:t xml:space="preserve">  1: periostealreaction # 骨膜反应（高优先级伴随病灶）</w:t>
              <w:br/>
              <w:t xml:space="preserve">  2: pronatorsign      # 旋前征（中度骨折伴随病灶）</w:t>
              <w:br/>
              <w:t xml:space="preserve">  3: softtissue        # 软组织肿胀（中度骨折</w:t>
            </w:r>
            <w:r>
              <w:rPr>
                <w:rFonts w:eastAsia="Consolas" w:ascii="Consolas" w:cs="Consolas" w:hAnsi="Consolas"/>
                <w:sz w:val="22"/>
              </w:rPr>
              <w:t>伴随病灶）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训练模型信息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系统采用双模型架构，两个模型均基于上述4类数据集完成100轮完整训练，支持GPU/CPU双模式推理，具体信息如下：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YOLOv8s 骨折检测模型：训练路径为train6/weights/best.pt，部署后路径为./weights/yolov8_best.pt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YOLOv10s 骨折检测模型：训练路径为train8/weights/best.pt，部署后路径为./weights/yolov10_best.pt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系统支持双模型一键切换、同图对比检测，可直观对比两个模型的检测性能差异。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骨折分级医学判定逻辑（核心内容）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本系统采用“后置医学规则融合分级”方式，而非模型直接分类，完全基于GRAZPEDWRI-DX数据集原始标注定义，分级逻辑严格遵循儿童腕部骨折影像学诊断标准，可解释性强，符合毕设论文要求。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分级医学依据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轻度骨折：单纯裂隙骨折、青枝骨折，无任何伴随损伤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中度骨折：骨折伴随软组织肿胀、旋前征（提示骨折移位）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重度骨折：骨折伴随骨膜反应（提示不稳定骨折、陈旧进展骨折）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精确判定规则（优先级从高到低）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系统逐图提取所有检测到的病灶，按以下优先级逻辑自动判断最终骨折等级，优先级越高，判定权重越大，一旦满足高优先级条件，即停止后续判断：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骨折等级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界面展示</w:t>
            </w: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1（最高）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重度骨折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检测到fracture（骨折</w:t>
            </w:r>
            <w:r>
              <w:rPr>
                <w:rFonts w:eastAsia="等线" w:ascii="Arial" w:cs="Arial" w:hAnsi="Arial"/>
                <w:sz w:val="22"/>
              </w:rPr>
              <w:t>），且检测到periostealreaction（骨膜反应），无论是否存在</w:t>
            </w:r>
            <w:r>
              <w:rPr>
                <w:rFonts w:eastAsia="等线" w:ascii="Arial" w:cs="Arial" w:hAnsi="Arial"/>
                <w:sz w:val="22"/>
              </w:rPr>
              <w:t>其他病灶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不稳定骨折、陈旧</w:t>
            </w:r>
            <w:r>
              <w:rPr>
                <w:rFonts w:eastAsia="等线" w:ascii="Arial" w:cs="Arial" w:hAnsi="Arial"/>
                <w:sz w:val="22"/>
              </w:rPr>
              <w:t>进展骨折、骨膜炎症刺激、严重移位骨折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中度骨折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检测到fracture（骨折），且检测到softtissue（软组织肿胀）</w:t>
            </w:r>
            <w:r>
              <w:rPr>
                <w:rFonts w:eastAsia="等线" w:ascii="Arial" w:cs="Arial" w:hAnsi="Arial"/>
                <w:sz w:val="22"/>
              </w:rPr>
              <w:t>或pronatorsign（旋前征）任意一种，无骨膜反应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骨折移位、周围软组织肿胀、出血</w:t>
            </w:r>
            <w:r>
              <w:rPr>
                <w:rFonts w:eastAsia="等线" w:ascii="Arial" w:cs="Arial" w:hAnsi="Arial"/>
                <w:sz w:val="22"/>
              </w:rPr>
              <w:t>损伤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轻度</w:t>
            </w:r>
            <w:r>
              <w:rPr>
                <w:rFonts w:eastAsia="等线" w:ascii="Arial" w:cs="Arial" w:hAnsi="Arial"/>
                <w:sz w:val="22"/>
              </w:rPr>
              <w:t>骨折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仅检测到fracture（骨折），无</w:t>
            </w:r>
            <w:r>
              <w:rPr>
                <w:rFonts w:eastAsia="等线" w:ascii="Arial" w:cs="Arial" w:hAnsi="Arial"/>
                <w:sz w:val="22"/>
              </w:rPr>
              <w:t>软组织肿胀、无旋前征、无骨膜反应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单纯裂隙骨折、轻微青枝骨折、无移位骨折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未见骨折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未检测到fracture（骨折）病灶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X光影像中未见明确骨折异常征象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判定执行流程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模型对整张X光图片进行检测，输出所有4类病灶的位置、置信度等信息；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程序收集当前图片的全部检测结果，筛选有效病灶（排除置信度低于阈值的结果）；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按上述优先级医学规则，后置计算最终骨折等级及判定依据；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界面可视化展示：原始病灶检测框（统一蓝色）+ 醒目分级结论 + 分级依据文字，确保可解释性。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注：检测框仅显示原始病灶名称及置信度，不直接标注骨折分级，分级结果单独以醒目文字展示，符合医学辅助诊断的直观性要求。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系统界面与功能说明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登录模块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系统采用本地JSON文件（accounts.json）存储用户账号密码，无需额外数据库，开箱即用，核心功能包括：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用户注册：支持新用户注册，包含用户名唯一性校验、密码长度校验（至少6位）；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用户登录：验证账号密码正确性，错误时给出友好提示，登录成功后跳转至主界面；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数据安全：账号密码本地存储，不联网、不泄露，适配毕设本地部署需求。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主界面布局（医疗科技风，自适应设计）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主界面采用左-中-右三栏布局，适配任意窗口缩放、最大化、最小化，无文字错乱、无控件挤压、无图片拉伸变形，具体布局如下：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左侧：原始X光图像显示区，用于展示上传的未处理X光图片，支持等比例缩放，保持图像完整性；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中间：检测结果图像显示区，仅绘制所有有效病灶的检测框（统一为医疗蓝#165DFF），框内显示“病灶名称+置信度”，清晰展示病灶位置；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右侧：控制面板与结果展示区，包含4个核心部分：</w:t>
        <w:br/>
        <w:t xml:space="preserve">        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模型选择：下拉框选择YOLOv8s、YOLOv10s，一键切换模型，自动加载对应权重；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参数调节：置信度阈值、IoU阈值调节，支持实时生效，适配不同检测需求；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功能按钮：图片检测、结果保存、双模型对比，操作简洁，逻辑清晰；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分级结论展示区（核心）：以醒目大字体显示最终骨折等级，下方标注判定依据，颜色对应分级（红/橙/绿/灰）；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病灶详情表格：展示所有检测到的原始病灶信息，包含“病灶类型、置信度、位置”三列，便于查看原始检测数据。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系统已移除功能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为适配儿童腕部X光静态检测的医学场景，同时精简系统、避免冗余，系统已永久移除视频检测、摄像头实时检测相关的所有代码、UI按钮及线程，仅保留X光图片静态检测功能。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YOLOv8s与YOLOv10s模型对比说明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两个模型基于相同的4类数据集、相同的训练参数（100轮训练），训练及推理性能对比如下，可直接用于毕设论文实验分析：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YOLOv8s：训练过程稳定，无震荡现象，最终性能指标为mAP50=75.33%、mAP50-95=42.80%，小目标骨折（如裂隙骨折）检测鲁棒性更强；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YOLOv10s：训练前期存在轻微震荡，偶现NaN异常，最终mAP指标略低于YOLOv8s，但推理速度更快，适合快速检测场景；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系统支持一键同图双模型对比，左右分屏同步展示两个模型的病灶检测结果与分级结论，自动输出对比指标（检测框数量、最高严重等级、平均置信度）及优劣结论，便于实验数据收集与分析。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 系统部署与运行教程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 项目目录结构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系统所有文件均放置于newprogram文件夹中，目录结构清晰，便于部署与管理，具体如下：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newprogram/</w:t>
              <w:br/>
              <w:t>├─ main.py            # 主程序入口，直接运行即可启动系统</w:t>
              <w:br/>
              <w:t>├─ UiMain.py          # 美化后的自适应UI界面代码</w:t>
              <w:br/>
              <w:t>├─ LoginWindow.py     # 登录注册窗口代码</w:t>
              <w:br/>
              <w:t>├─ accounts.json      # 本地用户账户存储文件（自动生成）</w:t>
              <w:br/>
              <w:t>└─ weights/           # 模型权重文件夹</w:t>
              <w:br/>
              <w:t xml:space="preserve">   ├─ yolov8_best.pt  # YOLOv8s模型权重（来自train6/weights/best.pt）</w:t>
              <w:br/>
              <w:t xml:space="preserve">   └─ yolov10_best.pt # YOLOv10s模型权重（来自train8/weights</w:t>
            </w:r>
            <w:r>
              <w:rPr>
                <w:rFonts w:eastAsia="Consolas" w:ascii="Consolas" w:cs="Consolas" w:hAnsi="Consolas"/>
                <w:sz w:val="22"/>
              </w:rPr>
              <w:t>/best.pt）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6.2 运行步骤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模型准备：将服务器训练好的train6/weights/best.pt、train8/weights/best.pt复制到newprogram/weights文件夹中，并重命名为yolov8_best.pt、yolov10_best.pt；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依赖安装：打开命令行，进入newprogram文件夹，执行命令：pip install ultralytics PyQt5 opencv-python，安装所需依赖包；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启动系统：直接运行main.py文件，无需额外配置；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操作流程：登录账号 → 选择模型 → 点击“图片检测”上传X光图片 → 系统自动检测并输出分级结论 → 查看分级依据与病灶详情 → 点击“保存结果”保存检测图片。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6.3 常见问题解决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模型加载失败：检查weights文件夹是否存在，模型文件是否命名正确、未损坏；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图片无法检测：检查图片格式（支持jpg、jpeg、png、bmp），确保图片未损坏；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界面错乱：无需手动调整，系统支持自适应，最大化/缩放后自动适配。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7. 系统特点总结（毕设论文可用）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医学逻辑性强：采用后置医学规则分级，而非模型直接分类，可解释性高，符合儿童腕部骨折临床诊断逻辑；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双模型对比：支持YOLOv8s与YOLOv10s一键对比，实验数据完整，便于毕设论文分析；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界面适配性好：医疗科技风设计，支持任意缩放、全屏，无BUG，操作简洁直观；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部署便捷：本地存储账号、本地推理，无需数据库、无需联网，开箱即用；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数据集适配：分级规则完全基于GRAZPEDWRI-DX数据集原始标注，无需额外人工标注，符合毕设实验要求。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9620">
    <w:lvl>
      <w:numFmt w:val="bullet"/>
      <w:suff w:val="tab"/>
      <w:lvlText w:val="•"/>
      <w:rPr>
        <w:color w:val="3370ff"/>
      </w:rPr>
    </w:lvl>
  </w:abstractNum>
  <w:abstractNum w:abstractNumId="909621">
    <w:lvl>
      <w:numFmt w:val="bullet"/>
      <w:suff w:val="tab"/>
      <w:lvlText w:val="•"/>
      <w:rPr>
        <w:color w:val="3370ff"/>
      </w:rPr>
    </w:lvl>
  </w:abstractNum>
  <w:abstractNum w:abstractNumId="909622">
    <w:lvl>
      <w:numFmt w:val="bullet"/>
      <w:suff w:val="tab"/>
      <w:lvlText w:val="•"/>
      <w:rPr>
        <w:color w:val="3370ff"/>
      </w:rPr>
    </w:lvl>
  </w:abstractNum>
  <w:abstractNum w:abstractNumId="909623">
    <w:lvl>
      <w:numFmt w:val="bullet"/>
      <w:suff w:val="tab"/>
      <w:lvlText w:val="•"/>
      <w:rPr>
        <w:color w:val="3370ff"/>
      </w:rPr>
    </w:lvl>
  </w:abstractNum>
  <w:abstractNum w:abstractNumId="909624">
    <w:lvl>
      <w:numFmt w:val="bullet"/>
      <w:suff w:val="tab"/>
      <w:lvlText w:val="•"/>
      <w:rPr>
        <w:color w:val="3370ff"/>
      </w:rPr>
    </w:lvl>
  </w:abstractNum>
  <w:abstractNum w:abstractNumId="909625">
    <w:lvl>
      <w:numFmt w:val="bullet"/>
      <w:suff w:val="tab"/>
      <w:lvlText w:val="•"/>
      <w:rPr>
        <w:color w:val="3370ff"/>
      </w:rPr>
    </w:lvl>
  </w:abstractNum>
  <w:abstractNum w:abstractNumId="909626">
    <w:lvl>
      <w:start w:val="1"/>
      <w:numFmt w:val="decimal"/>
      <w:suff w:val="tab"/>
      <w:lvlText w:val="%1."/>
      <w:rPr>
        <w:color w:val="3370ff"/>
      </w:rPr>
    </w:lvl>
  </w:abstractNum>
  <w:abstractNum w:abstractNumId="909627">
    <w:lvl>
      <w:start w:val="2"/>
      <w:numFmt w:val="decimal"/>
      <w:suff w:val="tab"/>
      <w:lvlText w:val="%1."/>
      <w:rPr>
        <w:color w:val="3370ff"/>
      </w:rPr>
    </w:lvl>
  </w:abstractNum>
  <w:abstractNum w:abstractNumId="909628">
    <w:lvl>
      <w:start w:val="3"/>
      <w:numFmt w:val="decimal"/>
      <w:suff w:val="tab"/>
      <w:lvlText w:val="%1."/>
      <w:rPr>
        <w:color w:val="3370ff"/>
      </w:rPr>
    </w:lvl>
  </w:abstractNum>
  <w:abstractNum w:abstractNumId="909629">
    <w:lvl>
      <w:start w:val="4"/>
      <w:numFmt w:val="decimal"/>
      <w:suff w:val="tab"/>
      <w:lvlText w:val="%1."/>
      <w:rPr>
        <w:color w:val="3370ff"/>
      </w:rPr>
    </w:lvl>
  </w:abstractNum>
  <w:abstractNum w:abstractNumId="909630">
    <w:lvl>
      <w:numFmt w:val="bullet"/>
      <w:suff w:val="tab"/>
      <w:lvlText w:val="•"/>
      <w:rPr>
        <w:color w:val="3370ff"/>
      </w:rPr>
    </w:lvl>
  </w:abstractNum>
  <w:abstractNum w:abstractNumId="909631">
    <w:lvl>
      <w:numFmt w:val="bullet"/>
      <w:suff w:val="tab"/>
      <w:lvlText w:val="•"/>
      <w:rPr>
        <w:color w:val="3370ff"/>
      </w:rPr>
    </w:lvl>
  </w:abstractNum>
  <w:abstractNum w:abstractNumId="909632">
    <w:lvl>
      <w:numFmt w:val="bullet"/>
      <w:suff w:val="tab"/>
      <w:lvlText w:val="•"/>
      <w:rPr>
        <w:color w:val="3370ff"/>
      </w:rPr>
    </w:lvl>
  </w:abstractNum>
  <w:abstractNum w:abstractNumId="909633">
    <w:lvl>
      <w:start w:val="1"/>
      <w:numFmt w:val="decimal"/>
      <w:suff w:val="tab"/>
      <w:lvlText w:val="%1."/>
      <w:rPr>
        <w:color w:val="3370ff"/>
      </w:rPr>
    </w:lvl>
  </w:abstractNum>
  <w:abstractNum w:abstractNumId="909634">
    <w:lvl>
      <w:start w:val="2"/>
      <w:numFmt w:val="decimal"/>
      <w:suff w:val="tab"/>
      <w:lvlText w:val="%1."/>
      <w:rPr>
        <w:color w:val="3370ff"/>
      </w:rPr>
    </w:lvl>
  </w:abstractNum>
  <w:abstractNum w:abstractNumId="909635">
    <w:lvl>
      <w:start w:val="3"/>
      <w:numFmt w:val="decimal"/>
      <w:suff w:val="tab"/>
      <w:lvlText w:val="%1."/>
      <w:rPr>
        <w:color w:val="3370ff"/>
      </w:rPr>
    </w:lvl>
  </w:abstractNum>
  <w:abstractNum w:abstractNumId="909636">
    <w:lvl>
      <w:numFmt w:val="bullet"/>
      <w:suff w:val="tab"/>
      <w:lvlText w:val="￮"/>
      <w:rPr>
        <w:color w:val="3370ff"/>
      </w:rPr>
    </w:lvl>
  </w:abstractNum>
  <w:abstractNum w:abstractNumId="909637">
    <w:lvl>
      <w:numFmt w:val="bullet"/>
      <w:suff w:val="tab"/>
      <w:lvlText w:val="￮"/>
      <w:rPr>
        <w:color w:val="3370ff"/>
      </w:rPr>
    </w:lvl>
  </w:abstractNum>
  <w:abstractNum w:abstractNumId="909638">
    <w:lvl>
      <w:numFmt w:val="bullet"/>
      <w:suff w:val="tab"/>
      <w:lvlText w:val="￮"/>
      <w:rPr>
        <w:color w:val="3370ff"/>
      </w:rPr>
    </w:lvl>
  </w:abstractNum>
  <w:abstractNum w:abstractNumId="909639">
    <w:lvl>
      <w:numFmt w:val="bullet"/>
      <w:suff w:val="tab"/>
      <w:lvlText w:val="￮"/>
      <w:rPr>
        <w:color w:val="3370ff"/>
      </w:rPr>
    </w:lvl>
  </w:abstractNum>
  <w:abstractNum w:abstractNumId="909640">
    <w:lvl>
      <w:numFmt w:val="bullet"/>
      <w:suff w:val="tab"/>
      <w:lvlText w:val="￮"/>
      <w:rPr>
        <w:color w:val="3370ff"/>
      </w:rPr>
    </w:lvl>
  </w:abstractNum>
  <w:abstractNum w:abstractNumId="909641">
    <w:lvl>
      <w:numFmt w:val="bullet"/>
      <w:suff w:val="tab"/>
      <w:lvlText w:val="•"/>
      <w:rPr>
        <w:color w:val="3370ff"/>
      </w:rPr>
    </w:lvl>
  </w:abstractNum>
  <w:abstractNum w:abstractNumId="909642">
    <w:lvl>
      <w:numFmt w:val="bullet"/>
      <w:suff w:val="tab"/>
      <w:lvlText w:val="•"/>
      <w:rPr>
        <w:color w:val="3370ff"/>
      </w:rPr>
    </w:lvl>
  </w:abstractNum>
  <w:abstractNum w:abstractNumId="909643">
    <w:lvl>
      <w:numFmt w:val="bullet"/>
      <w:suff w:val="tab"/>
      <w:lvlText w:val="•"/>
      <w:rPr>
        <w:color w:val="3370ff"/>
      </w:rPr>
    </w:lvl>
  </w:abstractNum>
  <w:abstractNum w:abstractNumId="909644">
    <w:lvl>
      <w:start w:val="1"/>
      <w:numFmt w:val="decimal"/>
      <w:suff w:val="tab"/>
      <w:lvlText w:val="%1."/>
      <w:rPr>
        <w:color w:val="3370ff"/>
      </w:rPr>
    </w:lvl>
  </w:abstractNum>
  <w:abstractNum w:abstractNumId="909645">
    <w:lvl>
      <w:start w:val="2"/>
      <w:numFmt w:val="decimal"/>
      <w:suff w:val="tab"/>
      <w:lvlText w:val="%1."/>
      <w:rPr>
        <w:color w:val="3370ff"/>
      </w:rPr>
    </w:lvl>
  </w:abstractNum>
  <w:abstractNum w:abstractNumId="909646">
    <w:lvl>
      <w:start w:val="3"/>
      <w:numFmt w:val="decimal"/>
      <w:suff w:val="tab"/>
      <w:lvlText w:val="%1."/>
      <w:rPr>
        <w:color w:val="3370ff"/>
      </w:rPr>
    </w:lvl>
  </w:abstractNum>
  <w:abstractNum w:abstractNumId="909647">
    <w:lvl>
      <w:start w:val="4"/>
      <w:numFmt w:val="decimal"/>
      <w:suff w:val="tab"/>
      <w:lvlText w:val="%1."/>
      <w:rPr>
        <w:color w:val="3370ff"/>
      </w:rPr>
    </w:lvl>
  </w:abstractNum>
  <w:abstractNum w:abstractNumId="909648">
    <w:lvl>
      <w:numFmt w:val="bullet"/>
      <w:suff w:val="tab"/>
      <w:lvlText w:val="•"/>
      <w:rPr>
        <w:color w:val="3370ff"/>
      </w:rPr>
    </w:lvl>
  </w:abstractNum>
  <w:abstractNum w:abstractNumId="909649">
    <w:lvl>
      <w:numFmt w:val="bullet"/>
      <w:suff w:val="tab"/>
      <w:lvlText w:val="•"/>
      <w:rPr>
        <w:color w:val="3370ff"/>
      </w:rPr>
    </w:lvl>
  </w:abstractNum>
  <w:abstractNum w:abstractNumId="909650">
    <w:lvl>
      <w:numFmt w:val="bullet"/>
      <w:suff w:val="tab"/>
      <w:lvlText w:val="•"/>
      <w:rPr>
        <w:color w:val="3370ff"/>
      </w:rPr>
    </w:lvl>
  </w:abstractNum>
  <w:abstractNum w:abstractNumId="909651">
    <w:lvl>
      <w:start w:val="1"/>
      <w:numFmt w:val="decimal"/>
      <w:suff w:val="tab"/>
      <w:lvlText w:val="%1."/>
      <w:rPr>
        <w:color w:val="3370ff"/>
      </w:rPr>
    </w:lvl>
  </w:abstractNum>
  <w:abstractNum w:abstractNumId="909652">
    <w:lvl>
      <w:start w:val="2"/>
      <w:numFmt w:val="decimal"/>
      <w:suff w:val="tab"/>
      <w:lvlText w:val="%1."/>
      <w:rPr>
        <w:color w:val="3370ff"/>
      </w:rPr>
    </w:lvl>
  </w:abstractNum>
  <w:abstractNum w:abstractNumId="909653">
    <w:lvl>
      <w:start w:val="3"/>
      <w:numFmt w:val="decimal"/>
      <w:suff w:val="tab"/>
      <w:lvlText w:val="%1."/>
      <w:rPr>
        <w:color w:val="3370ff"/>
      </w:rPr>
    </w:lvl>
  </w:abstractNum>
  <w:abstractNum w:abstractNumId="909654">
    <w:lvl>
      <w:start w:val="4"/>
      <w:numFmt w:val="decimal"/>
      <w:suff w:val="tab"/>
      <w:lvlText w:val="%1."/>
      <w:rPr>
        <w:color w:val="3370ff"/>
      </w:rPr>
    </w:lvl>
  </w:abstractNum>
  <w:abstractNum w:abstractNumId="90965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09620"/>
  </w:num>
  <w:num w:numId="2">
    <w:abstractNumId w:val="909621"/>
  </w:num>
  <w:num w:numId="3">
    <w:abstractNumId w:val="909622"/>
  </w:num>
  <w:num w:numId="4">
    <w:abstractNumId w:val="909623"/>
  </w:num>
  <w:num w:numId="5">
    <w:abstractNumId w:val="909624"/>
  </w:num>
  <w:num w:numId="6">
    <w:abstractNumId w:val="909625"/>
  </w:num>
  <w:num w:numId="7">
    <w:abstractNumId w:val="909626"/>
  </w:num>
  <w:num w:numId="8">
    <w:abstractNumId w:val="909627"/>
  </w:num>
  <w:num w:numId="9">
    <w:abstractNumId w:val="909628"/>
  </w:num>
  <w:num w:numId="10">
    <w:abstractNumId w:val="909629"/>
  </w:num>
  <w:num w:numId="11">
    <w:abstractNumId w:val="909630"/>
  </w:num>
  <w:num w:numId="12">
    <w:abstractNumId w:val="909631"/>
  </w:num>
  <w:num w:numId="13">
    <w:abstractNumId w:val="909632"/>
  </w:num>
  <w:num w:numId="14">
    <w:abstractNumId w:val="909633"/>
  </w:num>
  <w:num w:numId="15">
    <w:abstractNumId w:val="909634"/>
  </w:num>
  <w:num w:numId="16">
    <w:abstractNumId w:val="909635"/>
  </w:num>
  <w:num w:numId="17">
    <w:abstractNumId w:val="909636"/>
  </w:num>
  <w:num w:numId="18">
    <w:abstractNumId w:val="909637"/>
  </w:num>
  <w:num w:numId="19">
    <w:abstractNumId w:val="909638"/>
  </w:num>
  <w:num w:numId="20">
    <w:abstractNumId w:val="909639"/>
  </w:num>
  <w:num w:numId="21">
    <w:abstractNumId w:val="909640"/>
  </w:num>
  <w:num w:numId="22">
    <w:abstractNumId w:val="909641"/>
  </w:num>
  <w:num w:numId="23">
    <w:abstractNumId w:val="909642"/>
  </w:num>
  <w:num w:numId="24">
    <w:abstractNumId w:val="909643"/>
  </w:num>
  <w:num w:numId="25">
    <w:abstractNumId w:val="909644"/>
  </w:num>
  <w:num w:numId="26">
    <w:abstractNumId w:val="909645"/>
  </w:num>
  <w:num w:numId="27">
    <w:abstractNumId w:val="909646"/>
  </w:num>
  <w:num w:numId="28">
    <w:abstractNumId w:val="909647"/>
  </w:num>
  <w:num w:numId="29">
    <w:abstractNumId w:val="909648"/>
  </w:num>
  <w:num w:numId="30">
    <w:abstractNumId w:val="909649"/>
  </w:num>
  <w:num w:numId="31">
    <w:abstractNumId w:val="909650"/>
  </w:num>
  <w:num w:numId="32">
    <w:abstractNumId w:val="909651"/>
  </w:num>
  <w:num w:numId="33">
    <w:abstractNumId w:val="909652"/>
  </w:num>
  <w:num w:numId="34">
    <w:abstractNumId w:val="909653"/>
  </w:num>
  <w:num w:numId="35">
    <w:abstractNumId w:val="909654"/>
  </w:num>
  <w:num w:numId="36">
    <w:abstractNumId w:val="9096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2026-04-19T10:23:55Z</dcterms:created>
  <dc:creator>Apache POI</dc:creator>
</cp:coreProperties>
</file>