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2ADB" w14:textId="6F727E5E" w:rsidR="00F12C76" w:rsidRDefault="007B429A" w:rsidP="007B429A">
      <w:pPr>
        <w:spacing w:after="0"/>
        <w:jc w:val="both"/>
      </w:pPr>
      <w:r>
        <w:t xml:space="preserve">Прямой и перекрестный кабель используются для соединения оборудования компьютерной сети. </w:t>
      </w:r>
    </w:p>
    <w:p w14:paraId="03009BCB" w14:textId="34F30525" w:rsidR="007B429A" w:rsidRDefault="007B429A" w:rsidP="007B429A">
      <w:pPr>
        <w:spacing w:after="0"/>
        <w:jc w:val="both"/>
        <w:rPr>
          <w:lang w:val="en-US"/>
        </w:rPr>
      </w:pPr>
      <w:r>
        <w:t xml:space="preserve">Разъем </w:t>
      </w:r>
      <w:r>
        <w:rPr>
          <w:lang w:val="en-US"/>
        </w:rPr>
        <w:t>RG 45</w:t>
      </w:r>
    </w:p>
    <w:p w14:paraId="61085F12" w14:textId="485B1360" w:rsidR="007B429A" w:rsidRDefault="007B429A" w:rsidP="007B429A">
      <w:pPr>
        <w:spacing w:after="0"/>
        <w:jc w:val="both"/>
      </w:pPr>
      <w:r>
        <w:t xml:space="preserve">Используется витая пара, которую часто называют просто </w:t>
      </w:r>
      <w:r>
        <w:rPr>
          <w:lang w:val="en-US"/>
        </w:rPr>
        <w:t>UTP</w:t>
      </w:r>
      <w:r w:rsidRPr="007B429A">
        <w:t>-</w:t>
      </w:r>
      <w:r>
        <w:t>кабелем.</w:t>
      </w:r>
    </w:p>
    <w:p w14:paraId="397DC9A5" w14:textId="02D36A02" w:rsidR="007B429A" w:rsidRDefault="007B429A" w:rsidP="007B429A">
      <w:pPr>
        <w:spacing w:after="0"/>
        <w:jc w:val="both"/>
      </w:pPr>
      <w:r>
        <w:t xml:space="preserve">Порядок укладки цветных проводов внутри витой пары в интерфейс </w:t>
      </w:r>
      <w:r>
        <w:rPr>
          <w:lang w:val="en-US"/>
        </w:rPr>
        <w:t>RG</w:t>
      </w:r>
      <w:r>
        <w:t xml:space="preserve"> 45 регламентируется стандартом.</w:t>
      </w:r>
    </w:p>
    <w:p w14:paraId="3EB20637" w14:textId="2B48CED8" w:rsidR="007B429A" w:rsidRDefault="007B429A" w:rsidP="007B429A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79E181" wp14:editId="2334059E">
            <wp:simplePos x="0" y="0"/>
            <wp:positionH relativeFrom="margin">
              <wp:posOffset>-635</wp:posOffset>
            </wp:positionH>
            <wp:positionV relativeFrom="paragraph">
              <wp:posOffset>205740</wp:posOffset>
            </wp:positionV>
            <wp:extent cx="2659380" cy="4768850"/>
            <wp:effectExtent l="0" t="0" r="7620" b="0"/>
            <wp:wrapTight wrapText="bothSides">
              <wp:wrapPolygon edited="0">
                <wp:start x="0" y="0"/>
                <wp:lineTo x="0" y="21485"/>
                <wp:lineTo x="21507" y="21485"/>
                <wp:lineTo x="21507" y="0"/>
                <wp:lineTo x="0" y="0"/>
              </wp:wrapPolygon>
            </wp:wrapTight>
            <wp:docPr id="25598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05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568 </w:t>
      </w:r>
      <w:r>
        <w:rPr>
          <w:lang w:val="en-US"/>
        </w:rPr>
        <w:t xml:space="preserve">B </w:t>
      </w:r>
      <w:r>
        <w:t xml:space="preserve">и 568 </w:t>
      </w:r>
      <w:r>
        <w:rPr>
          <w:lang w:val="en-US"/>
        </w:rPr>
        <w:t>A</w:t>
      </w:r>
      <w:r>
        <w:t xml:space="preserve"> </w:t>
      </w:r>
    </w:p>
    <w:p w14:paraId="20A004F6" w14:textId="7E9EC06B" w:rsidR="007B429A" w:rsidRDefault="007B429A" w:rsidP="007B429A">
      <w:pPr>
        <w:spacing w:after="0"/>
        <w:jc w:val="both"/>
      </w:pPr>
    </w:p>
    <w:p w14:paraId="3D34FD28" w14:textId="77149219" w:rsidR="007B429A" w:rsidRDefault="007B429A" w:rsidP="007B429A">
      <w:pPr>
        <w:spacing w:after="0"/>
        <w:jc w:val="both"/>
      </w:pPr>
      <w:r>
        <w:rPr>
          <w:noProof/>
        </w:rPr>
        <w:drawing>
          <wp:inline distT="0" distB="0" distL="0" distR="0" wp14:anchorId="6B35D1AD" wp14:editId="289991C7">
            <wp:extent cx="2303980" cy="4533900"/>
            <wp:effectExtent l="0" t="0" r="1270" b="0"/>
            <wp:docPr id="728304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4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6890" cy="45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8043" w14:textId="77777777" w:rsidR="007B429A" w:rsidRDefault="007B429A" w:rsidP="007B429A">
      <w:pPr>
        <w:spacing w:after="0"/>
        <w:jc w:val="both"/>
      </w:pPr>
    </w:p>
    <w:p w14:paraId="28C86F45" w14:textId="2FB924A6" w:rsidR="007B429A" w:rsidRPr="00D24B6D" w:rsidRDefault="007B429A" w:rsidP="007B429A">
      <w:pPr>
        <w:spacing w:after="0"/>
        <w:jc w:val="both"/>
      </w:pPr>
      <w:r>
        <w:t xml:space="preserve">Если с </w:t>
      </w:r>
      <w:r w:rsidR="00D24B6D">
        <w:t xml:space="preserve">обеих сторон </w:t>
      </w:r>
      <w:r>
        <w:t xml:space="preserve">у </w:t>
      </w:r>
      <w:proofErr w:type="spellStart"/>
      <w:r>
        <w:t>патчкорда</w:t>
      </w:r>
      <w:proofErr w:type="spellEnd"/>
      <w:r>
        <w:t xml:space="preserve"> раскладк</w:t>
      </w:r>
      <w:r w:rsidR="00D24B6D">
        <w:t>и</w:t>
      </w:r>
      <w:r w:rsidR="00D24B6D" w:rsidRPr="00D24B6D">
        <w:t xml:space="preserve"> </w:t>
      </w:r>
      <w:r w:rsidR="00D24B6D">
        <w:t>в интерфейсе</w:t>
      </w:r>
      <w:r>
        <w:t xml:space="preserve"> </w:t>
      </w:r>
      <w:r>
        <w:rPr>
          <w:lang w:val="en-US"/>
        </w:rPr>
        <w:t>RG</w:t>
      </w:r>
      <w:r w:rsidRPr="007B429A">
        <w:t>45</w:t>
      </w:r>
      <w:r w:rsidR="00D24B6D">
        <w:t xml:space="preserve"> используются по одинаковому 568</w:t>
      </w:r>
      <w:r w:rsidR="00D24B6D">
        <w:rPr>
          <w:lang w:val="en-US"/>
        </w:rPr>
        <w:t>B</w:t>
      </w:r>
      <w:r w:rsidR="00D24B6D">
        <w:t xml:space="preserve"> - </w:t>
      </w:r>
      <w:r w:rsidR="00D24B6D">
        <w:t>568</w:t>
      </w:r>
      <w:proofErr w:type="gramStart"/>
      <w:r w:rsidR="00D24B6D">
        <w:rPr>
          <w:lang w:val="en-US"/>
        </w:rPr>
        <w:t>B</w:t>
      </w:r>
      <w:r w:rsidR="00D24B6D">
        <w:t xml:space="preserve"> </w:t>
      </w:r>
      <w:r w:rsidR="00D24B6D">
        <w:t xml:space="preserve"> или</w:t>
      </w:r>
      <w:proofErr w:type="gramEnd"/>
      <w:r w:rsidR="00D24B6D">
        <w:t xml:space="preserve"> </w:t>
      </w:r>
      <w:r w:rsidR="00D24B6D">
        <w:t>568</w:t>
      </w:r>
      <w:r w:rsidR="00D24B6D">
        <w:t xml:space="preserve">А – </w:t>
      </w:r>
      <w:r w:rsidR="00D24B6D">
        <w:t>568</w:t>
      </w:r>
      <w:proofErr w:type="gramStart"/>
      <w:r w:rsidR="00D24B6D">
        <w:t>А</w:t>
      </w:r>
      <w:r w:rsidR="00D24B6D">
        <w:t xml:space="preserve"> </w:t>
      </w:r>
      <w:r w:rsidR="00D24B6D">
        <w:t xml:space="preserve"> –</w:t>
      </w:r>
      <w:proofErr w:type="gramEnd"/>
      <w:r w:rsidR="00D24B6D">
        <w:t xml:space="preserve"> такой кабель называется прямым. Используется для соединения: коммутатор-маршрутизатор, ПК – коммутатор. </w:t>
      </w:r>
      <w:r w:rsidR="00804D07">
        <w:t xml:space="preserve"> Но щас говорят, что использование прямых кабелей </w:t>
      </w:r>
      <w:r w:rsidR="00804D07">
        <w:t>568А</w:t>
      </w:r>
      <w:r w:rsidR="00804D07">
        <w:t xml:space="preserve"> является устаревшим, и в настоящее время </w:t>
      </w:r>
    </w:p>
    <w:sectPr w:rsidR="007B429A" w:rsidRPr="00D24B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D5"/>
    <w:rsid w:val="00124DAA"/>
    <w:rsid w:val="0046243F"/>
    <w:rsid w:val="006C0B77"/>
    <w:rsid w:val="007A19D5"/>
    <w:rsid w:val="007B429A"/>
    <w:rsid w:val="00804D07"/>
    <w:rsid w:val="008242FF"/>
    <w:rsid w:val="00870751"/>
    <w:rsid w:val="00922C48"/>
    <w:rsid w:val="00B915B7"/>
    <w:rsid w:val="00D24B6D"/>
    <w:rsid w:val="00E359C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36A7E"/>
  <w15:chartTrackingRefBased/>
  <w15:docId w15:val="{F7B4EF52-4871-41C7-9A02-0FB58E12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9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9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9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9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9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9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9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9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9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9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9D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A19D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A19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A19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A19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A19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A1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9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19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A1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19D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9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19D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A19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2026-07-29T05:03:00Z</dcterms:created>
  <dcterms:modified xsi:type="dcterms:W3CDTF">2026-07-29T05:18:00Z</dcterms:modified>
</cp:coreProperties>
</file>