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/>
      </w:pPr>
      <w:r>
        <w:rPr/>
        <w:t>Регулярные выражения.</w:t>
      </w:r>
    </w:p>
    <w:p>
      <w:pPr>
        <w:pStyle w:val="Normal"/>
        <w:spacing w:before="0" w:after="0"/>
        <w:jc w:val="center"/>
        <w:rPr>
          <w:lang w:val="en-US"/>
        </w:rPr>
      </w:pPr>
      <w:r>
        <w:rPr>
          <w:lang w:val="en-US"/>
        </w:rPr>
        <w:t>MySQL</w:t>
      </w:r>
    </w:p>
    <w:p>
      <w:pPr>
        <w:pStyle w:val="Normal"/>
        <w:rPr>
          <w:lang w:val="en-US"/>
        </w:rPr>
      </w:pPr>
      <w:r>
        <w:rPr/>
        <w:t>REGEXP (или его синоним RLIKE) используется для поиска и обработки строковых данных с помощью регулярных выражений.</w:t>
      </w:r>
    </w:p>
    <w:p>
      <w:pPr>
        <w:pStyle w:val="Normal"/>
        <w:rPr>
          <w:lang w:val="en-US"/>
        </w:rPr>
      </w:pPr>
      <w:r>
        <w:rPr/>
        <w:t>Регулярные выражения предоставляют мощные возможности для сложных шаблонов поиска, которые трудно реализовать с помощью оператора LIKE.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</w:rPr>
        <w:t>Когда использовать регулярные выражения вместо LIKE?</w:t>
      </w:r>
    </w:p>
    <w:p>
      <w:pPr>
        <w:pStyle w:val="Normal"/>
        <w:rPr>
          <w:lang w:val="en-US"/>
        </w:rPr>
      </w:pPr>
      <w:r>
        <w:rPr/>
        <w:t>Оператор LIKE удобен для простых шаблонов поиска, таких как поиск строк, начинающихся или заканчивающихся на определённый набор символов, или содержащих определённые подстроки. Однако, если требуется более сложный и гибкий поиск, например, поиск по нескольким условиям или использование специальных символов и диапазонов, операторы регулярных выражений станут незаменимым инструментом.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Cs/>
        </w:rPr>
      </w:pPr>
      <w:r>
        <w:rPr>
          <w:b/>
          <w:bCs/>
          <w:lang w:val="en-US"/>
        </w:rPr>
        <w:t>Синтаксис регулярных выраж</w:t>
      </w:r>
      <w:r>
        <w:rPr>
          <w:b/>
          <w:bCs/>
        </w:rPr>
        <w:t>е</w:t>
      </w:r>
      <w:r>
        <w:rPr>
          <w:b/>
          <w:bCs/>
          <w:lang w:val="en-US"/>
        </w:rPr>
        <w:t>ний</w:t>
      </w:r>
      <w:r>
        <w:rPr>
          <w:b/>
          <w:bCs/>
        </w:rPr>
        <w:t xml:space="preserve"> </w:t>
      </w:r>
    </w:p>
    <w:p>
      <w:pPr>
        <w:pStyle w:val="Normal"/>
        <w:rPr/>
      </w:pPr>
      <w:r>
        <w:rPr/>
        <w:t>Где pattern — это регулярное выражение, задающее шаблон поиска.</w:t>
      </w:r>
    </w:p>
    <w:p>
      <w:pPr>
        <w:pStyle w:val="Normal"/>
        <w:rPr/>
      </w:pPr>
      <w:r>
        <w:rPr/>
        <w:drawing>
          <wp:inline distT="0" distB="0" distL="0" distR="0">
            <wp:extent cx="5939790" cy="75311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Важные нюансы</w:t>
      </w:r>
    </w:p>
    <w:p>
      <w:pPr>
        <w:pStyle w:val="Normal"/>
        <w:rPr/>
      </w:pPr>
      <w:r>
        <w:rPr/>
        <w:t>1. Регистронезависимость</w:t>
      </w:r>
    </w:p>
    <w:p>
      <w:pPr>
        <w:pStyle w:val="Normal"/>
        <w:rPr/>
      </w:pPr>
      <w:r>
        <w:rPr/>
        <w:t>По умолчанию регулярные выражения в MySQL не чувствительны к регистру. Например, выражение REGEXP 'abc' найдёт строку и abc, и Abc, и ABC.</w:t>
      </w:r>
    </w:p>
    <w:p>
      <w:pPr>
        <w:pStyle w:val="Normal"/>
        <w:rPr/>
      </w:pPr>
      <w:r>
        <w:rPr/>
        <w:t>2. Специальные символы</w:t>
      </w:r>
    </w:p>
    <w:p>
      <w:pPr>
        <w:pStyle w:val="Normal"/>
        <w:rPr/>
      </w:pPr>
      <w:r>
        <w:rPr/>
        <w:t>Некоторые символы имеют особое значение в регулярных выражениях и требуют экранирования (например, ., *, +, ?, [, ], (, ), {, }, |, \).</w:t>
      </w:r>
    </w:p>
    <w:p>
      <w:pPr>
        <w:pStyle w:val="Normal"/>
        <w:rPr/>
      </w:pPr>
      <w:r>
        <w:rPr/>
        <w:t>Для экранирования таких символов используйте двойной обратный слеш — \\.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Специальные символы и структуры</w:t>
      </w:r>
    </w:p>
    <w:tbl>
      <w:tblPr>
        <w:tblpPr w:vertAnchor="text" w:horzAnchor="margin" w:leftFromText="180" w:rightFromText="180" w:tblpX="0" w:tblpY="36"/>
        <w:tblW w:w="8590" w:type="dxa"/>
        <w:jc w:val="left"/>
        <w:tblInd w:w="0" w:type="dxa"/>
        <w:tblLayout w:type="fixed"/>
        <w:tblCellMar>
          <w:top w:w="90" w:type="dxa"/>
          <w:left w:w="180" w:type="dxa"/>
          <w:bottom w:w="90" w:type="dxa"/>
          <w:right w:w="180" w:type="dxa"/>
        </w:tblCellMar>
        <w:tblLook w:firstRow="1" w:noVBand="1" w:lastRow="0" w:firstColumn="1" w:lastColumn="0" w:noHBand="0" w:val="04a0"/>
      </w:tblPr>
      <w:tblGrid>
        <w:gridCol w:w="1793"/>
        <w:gridCol w:w="6796"/>
      </w:tblGrid>
      <w:tr>
        <w:trPr>
          <w:tblHeader w:val="true"/>
        </w:trPr>
        <w:tc>
          <w:tcPr>
            <w:tcW w:w="1793" w:type="dxa"/>
            <w:tcBorders>
              <w:bottom w:val="single" w:sz="4" w:space="0" w:color="424242"/>
              <w:right w:val="single" w:sz="4" w:space="0" w:color="424242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Символы и структуры</w:t>
            </w:r>
          </w:p>
        </w:tc>
        <w:tc>
          <w:tcPr>
            <w:tcW w:w="6796" w:type="dxa"/>
            <w:tcBorders>
              <w:bottom w:val="single" w:sz="4" w:space="0" w:color="424242"/>
            </w:tcBorders>
            <w:tcMar>
              <w:left w:w="225" w:type="dxa"/>
            </w:tcMar>
            <w:vAlign w:val="center"/>
          </w:tcPr>
          <w:p>
            <w:pPr>
              <w:pStyle w:val="Normal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Чему соответствует</w:t>
            </w:r>
          </w:p>
        </w:tc>
      </w:tr>
      <w:tr>
        <w:trPr/>
        <w:tc>
          <w:tcPr>
            <w:tcW w:w="1793" w:type="dxa"/>
            <w:tcBorders>
              <w:bottom w:val="single" w:sz="4" w:space="0" w:color="424242"/>
              <w:right w:val="single" w:sz="4" w:space="0" w:color="424242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*</w:t>
            </w:r>
          </w:p>
        </w:tc>
        <w:tc>
          <w:tcPr>
            <w:tcW w:w="6796" w:type="dxa"/>
            <w:tcBorders>
              <w:bottom w:val="single" w:sz="4" w:space="0" w:color="424242"/>
            </w:tcBorders>
            <w:tcMar>
              <w:top w:w="180" w:type="dxa"/>
              <w:left w:w="225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0 или более экземпляров предшествующей строки</w:t>
            </w:r>
          </w:p>
        </w:tc>
      </w:tr>
      <w:tr>
        <w:trPr/>
        <w:tc>
          <w:tcPr>
            <w:tcW w:w="1793" w:type="dxa"/>
            <w:tcBorders>
              <w:bottom w:val="single" w:sz="4" w:space="0" w:color="424242"/>
              <w:right w:val="single" w:sz="4" w:space="0" w:color="424242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+</w:t>
            </w:r>
          </w:p>
        </w:tc>
        <w:tc>
          <w:tcPr>
            <w:tcW w:w="6796" w:type="dxa"/>
            <w:tcBorders>
              <w:bottom w:val="single" w:sz="4" w:space="0" w:color="424242"/>
            </w:tcBorders>
            <w:tcMar>
              <w:top w:w="180" w:type="dxa"/>
              <w:left w:w="225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1 или более экземпляров предшествующих строк</w:t>
            </w:r>
          </w:p>
        </w:tc>
      </w:tr>
      <w:tr>
        <w:trPr/>
        <w:tc>
          <w:tcPr>
            <w:tcW w:w="1793" w:type="dxa"/>
            <w:tcBorders>
              <w:bottom w:val="single" w:sz="4" w:space="0" w:color="424242"/>
              <w:right w:val="single" w:sz="4" w:space="0" w:color="424242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.</w:t>
            </w:r>
          </w:p>
        </w:tc>
        <w:tc>
          <w:tcPr>
            <w:tcW w:w="6796" w:type="dxa"/>
            <w:tcBorders>
              <w:bottom w:val="single" w:sz="4" w:space="0" w:color="424242"/>
            </w:tcBorders>
            <w:tcMar>
              <w:top w:w="180" w:type="dxa"/>
              <w:left w:w="225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Любой одиночный символ</w:t>
            </w:r>
          </w:p>
        </w:tc>
      </w:tr>
      <w:tr>
        <w:trPr/>
        <w:tc>
          <w:tcPr>
            <w:tcW w:w="1793" w:type="dxa"/>
            <w:tcBorders>
              <w:bottom w:val="single" w:sz="4" w:space="0" w:color="424242"/>
              <w:right w:val="single" w:sz="4" w:space="0" w:color="424242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?</w:t>
            </w:r>
          </w:p>
        </w:tc>
        <w:tc>
          <w:tcPr>
            <w:tcW w:w="6796" w:type="dxa"/>
            <w:tcBorders>
              <w:bottom w:val="single" w:sz="4" w:space="0" w:color="424242"/>
            </w:tcBorders>
            <w:tcMar>
              <w:top w:w="180" w:type="dxa"/>
              <w:left w:w="225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0 или 1 экземпляр предшествующей строки</w:t>
            </w:r>
          </w:p>
        </w:tc>
      </w:tr>
      <w:tr>
        <w:trPr/>
        <w:tc>
          <w:tcPr>
            <w:tcW w:w="1793" w:type="dxa"/>
            <w:tcBorders>
              <w:bottom w:val="single" w:sz="4" w:space="0" w:color="424242"/>
              <w:right w:val="single" w:sz="4" w:space="0" w:color="424242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^</w:t>
            </w:r>
          </w:p>
        </w:tc>
        <w:tc>
          <w:tcPr>
            <w:tcW w:w="6796" w:type="dxa"/>
            <w:tcBorders>
              <w:bottom w:val="single" w:sz="4" w:space="0" w:color="424242"/>
            </w:tcBorders>
            <w:tcMar>
              <w:top w:w="180" w:type="dxa"/>
              <w:left w:w="225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Соответствует началу строки</w:t>
            </w:r>
          </w:p>
        </w:tc>
      </w:tr>
      <w:tr>
        <w:trPr/>
        <w:tc>
          <w:tcPr>
            <w:tcW w:w="1793" w:type="dxa"/>
            <w:tcBorders>
              <w:bottom w:val="single" w:sz="4" w:space="0" w:color="424242"/>
              <w:right w:val="single" w:sz="4" w:space="0" w:color="424242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$</w:t>
            </w:r>
          </w:p>
        </w:tc>
        <w:tc>
          <w:tcPr>
            <w:tcW w:w="6796" w:type="dxa"/>
            <w:tcBorders>
              <w:bottom w:val="single" w:sz="4" w:space="0" w:color="424242"/>
            </w:tcBorders>
            <w:tcMar>
              <w:top w:w="180" w:type="dxa"/>
              <w:left w:w="225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Соответствует окончанию строки</w:t>
            </w:r>
          </w:p>
        </w:tc>
      </w:tr>
      <w:tr>
        <w:trPr/>
        <w:tc>
          <w:tcPr>
            <w:tcW w:w="1793" w:type="dxa"/>
            <w:tcBorders>
              <w:bottom w:val="single" w:sz="4" w:space="0" w:color="424242"/>
              <w:right w:val="single" w:sz="4" w:space="0" w:color="424242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[abc]</w:t>
            </w:r>
          </w:p>
        </w:tc>
        <w:tc>
          <w:tcPr>
            <w:tcW w:w="6796" w:type="dxa"/>
            <w:tcBorders>
              <w:bottom w:val="single" w:sz="4" w:space="0" w:color="424242"/>
            </w:tcBorders>
            <w:tcMar>
              <w:top w:w="180" w:type="dxa"/>
              <w:left w:w="225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Любой символ, указанный в квадратных скобках</w:t>
            </w:r>
          </w:p>
        </w:tc>
      </w:tr>
      <w:tr>
        <w:trPr/>
        <w:tc>
          <w:tcPr>
            <w:tcW w:w="1793" w:type="dxa"/>
            <w:tcBorders>
              <w:bottom w:val="single" w:sz="4" w:space="0" w:color="424242"/>
              <w:right w:val="single" w:sz="4" w:space="0" w:color="424242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[^abc]</w:t>
            </w:r>
          </w:p>
        </w:tc>
        <w:tc>
          <w:tcPr>
            <w:tcW w:w="6796" w:type="dxa"/>
            <w:tcBorders>
              <w:bottom w:val="single" w:sz="4" w:space="0" w:color="424242"/>
            </w:tcBorders>
            <w:tcMar>
              <w:top w:w="180" w:type="dxa"/>
              <w:left w:w="225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Любой символ, не указанный в квадратных скобках</w:t>
            </w:r>
          </w:p>
        </w:tc>
      </w:tr>
      <w:tr>
        <w:trPr/>
        <w:tc>
          <w:tcPr>
            <w:tcW w:w="1793" w:type="dxa"/>
            <w:tcBorders>
              <w:bottom w:val="single" w:sz="4" w:space="0" w:color="424242"/>
              <w:right w:val="single" w:sz="4" w:space="0" w:color="424242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[A-Z], [А-Я]</w:t>
            </w:r>
          </w:p>
        </w:tc>
        <w:tc>
          <w:tcPr>
            <w:tcW w:w="6796" w:type="dxa"/>
            <w:tcBorders>
              <w:bottom w:val="single" w:sz="4" w:space="0" w:color="424242"/>
            </w:tcBorders>
            <w:tcMar>
              <w:top w:w="180" w:type="dxa"/>
              <w:left w:w="225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Соответствует любой заглавной букве латинского и кириллического алфавита соответственно</w:t>
            </w:r>
          </w:p>
        </w:tc>
      </w:tr>
      <w:tr>
        <w:trPr/>
        <w:tc>
          <w:tcPr>
            <w:tcW w:w="1793" w:type="dxa"/>
            <w:tcBorders>
              <w:bottom w:val="single" w:sz="4" w:space="0" w:color="424242"/>
              <w:right w:val="single" w:sz="4" w:space="0" w:color="424242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[a-z], [а-я]</w:t>
            </w:r>
          </w:p>
        </w:tc>
        <w:tc>
          <w:tcPr>
            <w:tcW w:w="6796" w:type="dxa"/>
            <w:tcBorders>
              <w:bottom w:val="single" w:sz="4" w:space="0" w:color="424242"/>
            </w:tcBorders>
            <w:tcMar>
              <w:top w:w="180" w:type="dxa"/>
              <w:left w:w="225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Соответствует любой строчной букве латинского и кириллического алфавита соответственно</w:t>
            </w:r>
          </w:p>
        </w:tc>
      </w:tr>
      <w:tr>
        <w:trPr/>
        <w:tc>
          <w:tcPr>
            <w:tcW w:w="1793" w:type="dxa"/>
            <w:tcBorders>
              <w:bottom w:val="single" w:sz="4" w:space="0" w:color="424242"/>
              <w:right w:val="single" w:sz="4" w:space="0" w:color="424242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[0-9]</w:t>
            </w:r>
          </w:p>
        </w:tc>
        <w:tc>
          <w:tcPr>
            <w:tcW w:w="6796" w:type="dxa"/>
            <w:tcBorders>
              <w:bottom w:val="single" w:sz="4" w:space="0" w:color="424242"/>
            </w:tcBorders>
            <w:tcMar>
              <w:top w:w="180" w:type="dxa"/>
              <w:left w:w="225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Соответствует любой цифре</w:t>
            </w:r>
          </w:p>
        </w:tc>
      </w:tr>
      <w:tr>
        <w:trPr/>
        <w:tc>
          <w:tcPr>
            <w:tcW w:w="1793" w:type="dxa"/>
            <w:tcBorders>
              <w:bottom w:val="single" w:sz="4" w:space="0" w:color="424242"/>
              <w:right w:val="single" w:sz="4" w:space="0" w:color="424242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p1|p2|p3</w:t>
            </w:r>
          </w:p>
        </w:tc>
        <w:tc>
          <w:tcPr>
            <w:tcW w:w="6796" w:type="dxa"/>
            <w:tcBorders>
              <w:bottom w:val="single" w:sz="4" w:space="0" w:color="424242"/>
            </w:tcBorders>
            <w:tcMar>
              <w:top w:w="180" w:type="dxa"/>
              <w:left w:w="225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Соответствует любому из паттернов p1 или p2 или p3</w:t>
            </w:r>
          </w:p>
        </w:tc>
      </w:tr>
      <w:tr>
        <w:trPr/>
        <w:tc>
          <w:tcPr>
            <w:tcW w:w="1793" w:type="dxa"/>
            <w:tcBorders>
              <w:bottom w:val="single" w:sz="4" w:space="0" w:color="424242"/>
              <w:right w:val="single" w:sz="4" w:space="0" w:color="424242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{n}</w:t>
            </w:r>
          </w:p>
        </w:tc>
        <w:tc>
          <w:tcPr>
            <w:tcW w:w="6796" w:type="dxa"/>
            <w:tcBorders>
              <w:bottom w:val="single" w:sz="4" w:space="0" w:color="424242"/>
            </w:tcBorders>
            <w:tcMar>
              <w:top w:w="180" w:type="dxa"/>
              <w:left w:w="225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n экземпляров предыдущей строки</w:t>
            </w:r>
          </w:p>
        </w:tc>
      </w:tr>
      <w:tr>
        <w:trPr/>
        <w:tc>
          <w:tcPr>
            <w:tcW w:w="1793" w:type="dxa"/>
            <w:tcBorders>
              <w:right w:val="single" w:sz="4" w:space="0" w:color="424242"/>
            </w:tcBorders>
            <w:tcMar>
              <w:top w:w="180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{m,n}</w:t>
            </w:r>
          </w:p>
        </w:tc>
        <w:tc>
          <w:tcPr>
            <w:tcW w:w="6796" w:type="dxa"/>
            <w:tcBorders/>
            <w:tcMar>
              <w:top w:w="180" w:type="dxa"/>
              <w:left w:w="225" w:type="dxa"/>
              <w:bottom w:w="1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от m до n экземпляров предыдущей строки</w:t>
            </w:r>
          </w:p>
        </w:tc>
      </w:tr>
    </w:tbl>
    <w:p>
      <w:pPr>
        <w:pStyle w:val="Normal"/>
        <w:rPr/>
      </w:pPr>
      <w:r>
        <w:rP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Примеры.</w:t>
      </w:r>
    </w:p>
    <w:p>
      <w:pPr>
        <w:pStyle w:val="Normal"/>
        <w:rPr/>
      </w:pPr>
      <w:r>
        <w:rPr/>
        <w:t>1. Получим всех пользователей, чьи имена начинаются на «John»:</w:t>
      </w:r>
    </w:p>
    <w:p>
      <w:pPr>
        <w:pStyle w:val="Normal"/>
        <w:rPr/>
      </w:pPr>
      <w:r>
        <w:rPr/>
        <w:drawing>
          <wp:inline distT="0" distB="0" distL="0" distR="0">
            <wp:extent cx="5939790" cy="207264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2. Выведем все школьные предметы, название которых оканчивается на букву «e» или «y»:</w:t>
      </w:r>
    </w:p>
    <w:p>
      <w:pPr>
        <w:pStyle w:val="Normal"/>
        <w:rPr/>
      </w:pPr>
      <w:r>
        <w:rPr/>
        <w:drawing>
          <wp:inline distT="0" distB="0" distL="0" distR="0">
            <wp:extent cx="5939790" cy="295021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3. Найдём всех пользователей, чей адрес электронной почты оканчивается на «@outlook.com» или на «@icloud.com»:</w:t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0" allowOverlap="1" relativeHeight="9">
            <wp:simplePos x="0" y="0"/>
            <wp:positionH relativeFrom="column">
              <wp:posOffset>1270</wp:posOffset>
            </wp:positionH>
            <wp:positionV relativeFrom="paragraph">
              <wp:posOffset>1270</wp:posOffset>
            </wp:positionV>
            <wp:extent cx="3695700" cy="1910080"/>
            <wp:effectExtent l="0" t="0" r="0" b="0"/>
            <wp:wrapTight wrapText="bothSides">
              <wp:wrapPolygon edited="0">
                <wp:start x="-28" y="0"/>
                <wp:lineTo x="-28" y="21291"/>
                <wp:lineTo x="21483" y="21291"/>
                <wp:lineTo x="21483" y="0"/>
                <wp:lineTo x="-28" y="0"/>
              </wp:wrapPolygon>
            </wp:wrapTight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Здесь также используется $ для обозначения конца строки и | для указания нескольких вариантов.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Найдём всех пользователей, чей номер телефона не содержит цифр «2» и «8»:</w:t>
      </w:r>
    </w:p>
    <w:p>
      <w:pPr>
        <w:pStyle w:val="Normal"/>
        <w:rPr/>
      </w:pPr>
      <w:r>
        <w:rPr/>
        <w:drawing>
          <wp:inline distT="0" distB="0" distL="0" distR="0">
            <wp:extent cx="5939790" cy="1961515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В этом примере символ [^28] обозначает любой символ, кроме «2» и «8», а * означает любое количество таких символов. Символы ^ и $ указывают на начало и конец строки соответственно, гарантируя, что вся строка соответствует шаблону.</w:t>
      </w:r>
    </w:p>
    <w:p>
      <w:pPr>
        <w:pStyle w:val="Normal"/>
        <w:rPr/>
      </w:pPr>
      <w:r>
        <w:rPr/>
        <w:t>5. Найдём всех пользователей, чей номер телефона начинается на «+7»</w:t>
      </w:r>
    </w:p>
    <w:p>
      <w:pPr>
        <w:pStyle w:val="Normal"/>
        <w:rPr/>
      </w:pPr>
      <w:r>
        <w:rPr/>
        <w:drawing>
          <wp:inline distT="0" distB="0" distL="0" distR="0">
            <wp:extent cx="5939790" cy="2280920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В этом примере ^ означает начало строки. То есть, мы ищем строки, которые начинаются с определённого шаблона.</w:t>
      </w:r>
    </w:p>
    <w:p>
      <w:pPr>
        <w:pStyle w:val="Normal"/>
        <w:rPr>
          <w:lang w:val="en-US"/>
        </w:rPr>
      </w:pPr>
      <w:r>
        <w:rPr/>
        <w:t>Поскольку + является специальным символом в регулярных выражениях, его нужно экранировать двойным обратным слэшем (\\), чтобы он воспринимался как обычный символ +. В результате, \\+ соответствует знаку + в строке.</w:t>
      </w:r>
    </w:p>
    <w:p>
      <w:pPr>
        <w:pStyle w:val="Normal"/>
        <w:rPr>
          <w:lang w:val="en-US"/>
        </w:rPr>
      </w:pPr>
      <w:r>
        <w:rPr/>
        <w:t xml:space="preserve">6. Найдите все жилые помещения, в адресе которых содержится строка «Avenue». 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3257550" cy="685800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PostgreSQL</w:t>
      </w:r>
    </w:p>
    <w:p>
      <w:pPr>
        <w:pStyle w:val="Normal"/>
        <w:rPr/>
      </w:pPr>
      <w:r>
        <w:rPr/>
        <w:t>Операторы ~ и ~* в PostgreSQL используются для поиска и обработки строковых данных с помощью регулярных выражений.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Синтаксис регулярных выражений</w:t>
      </w:r>
    </w:p>
    <w:p>
      <w:pPr>
        <w:pStyle w:val="Normal"/>
        <w:rPr/>
      </w:pPr>
      <w:r>
        <w:rPr/>
        <w:t>Где pattern — это регулярное выражение, задающее шаблон поиска.</w:t>
      </w:r>
    </w:p>
    <w:p>
      <w:pPr>
        <w:pStyle w:val="Normal"/>
        <w:rPr/>
      </w:pPr>
      <w:r>
        <w:rPr/>
        <w:drawing>
          <wp:inline distT="0" distB="0" distL="0" distR="0">
            <wp:extent cx="5800725" cy="1285875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Важные нюансы</w:t>
      </w:r>
    </w:p>
    <w:p>
      <w:pPr>
        <w:pStyle w:val="Normal"/>
        <w:rPr/>
      </w:pPr>
      <w:r>
        <w:rPr/>
        <w:t>1. Регистрозависимость</w:t>
      </w:r>
    </w:p>
    <w:p>
      <w:pPr>
        <w:pStyle w:val="Normal"/>
        <w:rPr/>
      </w:pPr>
      <w:r>
        <w:rPr/>
        <w:t>По умолчанию регулярные выражения в PostgreSQL чувствительны к регистру.</w:t>
      </w:r>
    </w:p>
    <w:p>
      <w:pPr>
        <w:pStyle w:val="Normal"/>
        <w:rPr/>
      </w:pPr>
      <w:r>
        <w:rPr/>
        <w:t>Оператор ~ — с учетом регистра</w:t>
      </w:r>
    </w:p>
    <w:p>
      <w:pPr>
        <w:pStyle w:val="Normal"/>
        <w:rPr/>
      </w:pPr>
      <w:r>
        <w:rPr/>
        <w:t>Оператор ~* — без учета регистра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Специальные символы</w:t>
      </w:r>
    </w:p>
    <w:p>
      <w:pPr>
        <w:pStyle w:val="Normal"/>
        <w:rPr/>
      </w:pPr>
      <w:r>
        <w:rPr/>
        <w:t>Некоторые символы имеют особое значение в регулярных выражениях и требуют экранирования (например, ., *, +, ?, [, ], (, ), {, }, |, \).</w:t>
      </w:r>
    </w:p>
    <w:p>
      <w:pPr>
        <w:pStyle w:val="Normal"/>
        <w:rPr>
          <w:lang w:val="en-US"/>
        </w:rPr>
      </w:pPr>
      <w:r>
        <w:rPr/>
        <w:t>Для экранирования таких символов используйте одинарный обратный слеш — \.</w:t>
      </w:r>
    </w:p>
    <w:p>
      <w:pPr>
        <w:pStyle w:val="Normal"/>
        <w:rPr/>
      </w:pPr>
      <w:r>
        <w:rP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"/>
        <w:widowControl/>
        <w:bidi w:val="0"/>
        <w:spacing w:lineRule="auto" w:line="240" w:before="0" w:after="160"/>
        <w:jc w:val="left"/>
        <w:rPr/>
      </w:pPr>
      <w:r>
        <w:rPr/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15b7"/>
    <w:pPr>
      <w:widowControl/>
      <w:bidi w:val="0"/>
      <w:spacing w:lineRule="auto" w:line="240" w:before="0" w:after="160"/>
      <w:jc w:val="left"/>
    </w:pPr>
    <w:rPr>
      <w:rFonts w:ascii="Times New Roman" w:hAnsi="Times New Roman" w:eastAsia="Aptos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4a1aa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4a1aa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a1aa2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a1aa2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a1aa2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4a1aa2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4a1aa2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4a1aa2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4a1aa2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4a1aa2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sid w:val="004a1aa2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4a1aa2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4a1aa2"/>
    <w:rPr>
      <w:rFonts w:eastAsia="" w:cs="" w:cstheme="majorBidi" w:eastAsiaTheme="majorEastAsia"/>
      <w:i/>
      <w:iCs/>
      <w:color w:themeColor="accent1" w:themeShade="bf" w:val="2E74B5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sid w:val="004a1aa2"/>
    <w:rPr>
      <w:rFonts w:eastAsia="" w:cs="" w:cstheme="majorBidi" w:eastAsiaTheme="majorEastAsia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4a1aa2"/>
    <w:rPr>
      <w:rFonts w:eastAsia="" w:cs="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4a1aa2"/>
    <w:rPr>
      <w:rFonts w:eastAsia="" w:cs="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4a1aa2"/>
    <w:rPr>
      <w:rFonts w:eastAsia="" w:cs="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4a1aa2"/>
    <w:rPr>
      <w:rFonts w:eastAsia="" w:cs="" w:cstheme="majorBidi" w:eastAsiaTheme="majorEastAsia"/>
      <w:color w:themeColor="text1" w:themeTint="d8" w:val="272727"/>
      <w:sz w:val="28"/>
    </w:rPr>
  </w:style>
  <w:style w:type="character" w:styleId="Style5" w:customStyle="1">
    <w:name w:val="Заголовок Знак"/>
    <w:basedOn w:val="DefaultParagraphFont"/>
    <w:uiPriority w:val="10"/>
    <w:qFormat/>
    <w:rsid w:val="004a1aa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4a1aa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4a1aa2"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sid w:val="004a1aa2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4a1aa2"/>
    <w:rPr>
      <w:rFonts w:ascii="Times New Roman" w:hAnsi="Times New Roman"/>
      <w:i/>
      <w:iCs/>
      <w:color w:themeColor="accent1" w:themeShade="bf" w:val="2E74B5"/>
      <w:sz w:val="28"/>
    </w:rPr>
  </w:style>
  <w:style w:type="character" w:styleId="IntenseReference">
    <w:name w:val="Intense Reference"/>
    <w:basedOn w:val="DefaultParagraphFont"/>
    <w:uiPriority w:val="32"/>
    <w:qFormat/>
    <w:rsid w:val="004a1aa2"/>
    <w:rPr>
      <w:b/>
      <w:bCs/>
      <w:smallCaps/>
      <w:color w:themeColor="accent1" w:themeShade="bf" w:val="2E74B5"/>
      <w:spacing w:val="5"/>
    </w:rPr>
  </w:style>
  <w:style w:type="character" w:styleId="InternetLink">
    <w:name w:val="Internet Link"/>
    <w:basedOn w:val="DefaultParagraphFont"/>
    <w:uiPriority w:val="99"/>
    <w:unhideWhenUsed/>
    <w:qFormat/>
    <w:rsid w:val="001409c1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409c1"/>
    <w:rPr>
      <w:color w:val="605E5C"/>
      <w:shd w:fill="E1DFDD" w:val="clear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4a1aa2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4a1aa2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4a1aa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a1aa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4a1aa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paragraph" w:styleId="Style10">
    <w:name w:val="Содержимое врезки"/>
    <w:basedOn w:val="Normal"/>
    <w:qFormat/>
    <w:pPr/>
    <w:rPr/>
  </w:style>
  <w:style w:type="numbering" w:styleId="Style1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LibreOffice/24.2.6.2$Windows_X86_64 LibreOffice_project/ef66aa7e36a1bb8e65bfbc63aba53045a14d0871</Application>
  <AppVersion>15.0000</AppVersion>
  <Pages>3</Pages>
  <Words>523</Words>
  <Characters>3242</Characters>
  <CharactersWithSpaces>3762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2026-04-06T07:43:00Z</dcterms:created>
  <dc:creator>Пользователь</dc:creator>
  <dc:description/>
  <dc:language>ru-RU</dc:language>
  <cp:lastModifiedBy>Пользователь</cp:lastModifiedBy>
  <dcterms:modified xsi:type="dcterms:W3CDTF">2026-04-06T08:12:00Z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