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0B86E" w14:textId="57D02A81" w:rsidR="00FF56D3" w:rsidRDefault="00FF56D3" w:rsidP="00FF56D3">
      <w:pPr>
        <w:spacing w:after="20"/>
        <w:rPr>
          <w:rFonts w:ascii="Calibri" w:hAnsi="Calibri" w:cs="Calibri"/>
          <w:b/>
          <w:color w:val="1E3A8A"/>
          <w:sz w:val="31"/>
        </w:rPr>
      </w:pPr>
      <w:r w:rsidRPr="00FF56D3">
        <w:rPr>
          <w:rFonts w:ascii="Calibri" w:hAnsi="Calibri" w:cs="Calibri"/>
          <w:b/>
          <w:color w:val="1E3A8A"/>
          <w:sz w:val="31"/>
        </w:rPr>
        <w:t>CAMPUS PLACEMENT PREDICTOR: AN INTERPRETABLE ML SYSTEM</w:t>
      </w:r>
    </w:p>
    <w:p w14:paraId="483229D3" w14:textId="477B67FB" w:rsidR="00FF56D3" w:rsidRDefault="00FF56D3" w:rsidP="00FF56D3">
      <w:pPr>
        <w:spacing w:after="60"/>
        <w:rPr>
          <w:rFonts w:ascii="Calibri" w:hAnsi="Calibri" w:cs="Calibri"/>
          <w:color w:val="0D9488"/>
          <w:sz w:val="20"/>
        </w:rPr>
      </w:pPr>
      <w:r w:rsidRPr="00FF56D3">
        <w:rPr>
          <w:rFonts w:ascii="Calibri" w:hAnsi="Calibri" w:cs="Calibri"/>
          <w:color w:val="0D9488"/>
          <w:sz w:val="20"/>
        </w:rPr>
        <w:t>Project Introduction, Industry Motivation, and Responsible AI Architecture</w:t>
      </w:r>
    </w:p>
    <w:p w14:paraId="7D5F1C39" w14:textId="44CAA18E" w:rsidR="00FF56D3" w:rsidRDefault="00FF56D3" w:rsidP="00FF56D3">
      <w:pPr>
        <w:spacing w:after="100"/>
        <w:rPr>
          <w:rFonts w:ascii="Calibri" w:hAnsi="Calibri" w:cs="Calibri"/>
          <w:i/>
          <w:color w:val="80726B"/>
          <w:sz w:val="17"/>
        </w:rPr>
      </w:pPr>
      <w:r w:rsidRPr="00FF56D3">
        <w:rPr>
          <w:rFonts w:ascii="Calibri" w:hAnsi="Calibri" w:cs="Calibri"/>
          <w:i/>
          <w:color w:val="80726B"/>
          <w:sz w:val="17"/>
        </w:rPr>
        <w:t xml:space="preserve">Academic ML Mini </w:t>
      </w:r>
      <w:proofErr w:type="gramStart"/>
      <w:r w:rsidRPr="00FF56D3">
        <w:rPr>
          <w:rFonts w:ascii="Calibri" w:hAnsi="Calibri" w:cs="Calibri"/>
          <w:i/>
          <w:color w:val="80726B"/>
          <w:sz w:val="17"/>
        </w:rPr>
        <w:t>Project  |</w:t>
      </w:r>
      <w:proofErr w:type="gramEnd"/>
      <w:r w:rsidRPr="00FF56D3">
        <w:rPr>
          <w:rFonts w:ascii="Calibri" w:hAnsi="Calibri" w:cs="Calibri"/>
          <w:i/>
          <w:color w:val="80726B"/>
          <w:sz w:val="17"/>
        </w:rPr>
        <w:t xml:space="preserve">  Version: 2026.2.0-</w:t>
      </w:r>
      <w:proofErr w:type="gramStart"/>
      <w:r w:rsidRPr="00FF56D3">
        <w:rPr>
          <w:rFonts w:ascii="Calibri" w:hAnsi="Calibri" w:cs="Calibri"/>
          <w:i/>
          <w:color w:val="80726B"/>
          <w:sz w:val="17"/>
        </w:rPr>
        <w:t>social  |</w:t>
      </w:r>
      <w:proofErr w:type="gramEnd"/>
      <w:r w:rsidRPr="00FF56D3">
        <w:rPr>
          <w:rFonts w:ascii="Calibri" w:hAnsi="Calibri" w:cs="Calibri"/>
          <w:i/>
          <w:color w:val="80726B"/>
          <w:sz w:val="17"/>
        </w:rPr>
        <w:t xml:space="preserve">  Domain: Educational Data Mining and Talent </w:t>
      </w:r>
      <w:proofErr w:type="gramStart"/>
      <w:r w:rsidRPr="00FF56D3">
        <w:rPr>
          <w:rFonts w:ascii="Calibri" w:hAnsi="Calibri" w:cs="Calibri"/>
          <w:i/>
          <w:color w:val="80726B"/>
          <w:sz w:val="17"/>
        </w:rPr>
        <w:t>Analytics  |</w:t>
      </w:r>
      <w:proofErr w:type="gramEnd"/>
      <w:r w:rsidRPr="00FF56D3">
        <w:rPr>
          <w:rFonts w:ascii="Calibri" w:hAnsi="Calibri" w:cs="Calibri"/>
          <w:i/>
          <w:color w:val="80726B"/>
          <w:sz w:val="17"/>
        </w:rPr>
        <w:t xml:space="preserve">  Stack: Scikit-Learn, </w:t>
      </w:r>
      <w:proofErr w:type="spellStart"/>
      <w:r w:rsidRPr="00FF56D3">
        <w:rPr>
          <w:rFonts w:ascii="Calibri" w:hAnsi="Calibri" w:cs="Calibri"/>
          <w:i/>
          <w:color w:val="80726B"/>
          <w:sz w:val="17"/>
        </w:rPr>
        <w:t>FastAPI</w:t>
      </w:r>
      <w:proofErr w:type="spellEnd"/>
      <w:r w:rsidRPr="00FF56D3">
        <w:rPr>
          <w:rFonts w:ascii="Calibri" w:hAnsi="Calibri" w:cs="Calibri"/>
          <w:i/>
          <w:color w:val="80726B"/>
          <w:sz w:val="17"/>
        </w:rPr>
        <w:t>, Vanilla JS</w:t>
      </w:r>
    </w:p>
    <w:p w14:paraId="28943E2A" w14:textId="5A21991D" w:rsidR="00FF56D3" w:rsidRDefault="00FF56D3" w:rsidP="00FF56D3">
      <w:pPr>
        <w:keepNext/>
        <w:spacing w:before="80" w:after="20"/>
        <w:rPr>
          <w:rFonts w:ascii="Calibri" w:hAnsi="Calibri" w:cs="Calibri"/>
          <w:b/>
          <w:color w:val="1E3A8A"/>
          <w:sz w:val="21"/>
        </w:rPr>
      </w:pPr>
      <w:r w:rsidRPr="00FF56D3">
        <w:rPr>
          <w:rFonts w:ascii="Calibri" w:hAnsi="Calibri" w:cs="Calibri"/>
          <w:b/>
          <w:color w:val="1E3A8A"/>
          <w:sz w:val="21"/>
        </w:rPr>
        <w:t>1. Background, Context, and Industry Motivation</w:t>
      </w:r>
    </w:p>
    <w:p w14:paraId="527E248C" w14:textId="53059C20"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Campus placement drives represent a pivotal milestone in undergraduate engineering and technical education, serving as the primary institutional gateway bridging academic curricula with competitive professional careers. In the contemporary recruitment landscape, corporate evaluation standards have expanded well beyond cumulative grade point averages (CGPA). Leading technology enterprises and multinational corporations assess candidates across twelve multifaceted criteria: foundational academic consistency, quantitative and logical aptitude, core technical proficiency, algorithmic coding and problem solving, software engineering project portfolios, practical internship experience, and interpersonal communication.</w:t>
      </w:r>
    </w:p>
    <w:p w14:paraId="0E219982" w14:textId="0D1ED5AE"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Despite the decisive importance of these recruitment drives, students frequently operate in an environment characterized by systemic opacity. Benchmark hiring cutoffs and selection criteria vary significantly across organizations, leaving candidates reliant on anecdotal hearsay, peer speculation, and late-stage diagnostic feedback that occurs only after a student has experienced rejection in preliminary aptitude or coding screening rounds. Simultaneously, institutional Training and Placement Cells (TPOs) lack automated, early-warning diagnostic tools to detect at-risk candidates in preceding semesters, hindering timely pedagogical guidance, structured mock drills, and remedial technical training.</w:t>
      </w:r>
    </w:p>
    <w:p w14:paraId="77EBDAA0" w14:textId="2E2F1C25" w:rsidR="00FF56D3" w:rsidRDefault="00FF56D3" w:rsidP="00FF56D3">
      <w:pPr>
        <w:keepNext/>
        <w:spacing w:before="80" w:after="20" w:line="230" w:lineRule="auto"/>
        <w:rPr>
          <w:rFonts w:ascii="Calibri" w:hAnsi="Calibri" w:cs="Calibri"/>
          <w:b/>
          <w:color w:val="1E3A8A"/>
          <w:sz w:val="21"/>
        </w:rPr>
      </w:pPr>
      <w:r w:rsidRPr="00FF56D3">
        <w:rPr>
          <w:rFonts w:ascii="Calibri" w:hAnsi="Calibri" w:cs="Calibri"/>
          <w:b/>
          <w:color w:val="1E3A8A"/>
          <w:sz w:val="21"/>
        </w:rPr>
        <w:t>2. Problem Statement and Guiding Philosophy: 'Advice, Not Verdict'</w:t>
      </w:r>
    </w:p>
    <w:p w14:paraId="4FC3E3C6" w14:textId="7657950F"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Existing automated placement prediction tools in literature and commercial practice exhibit three structural deficiencies: (1) reliance on opaque 'black-box' architectures (deep neural networks or unconstrained ensembles) that output static probability scores without explanatory insight; (2) uncalibrated probability estimates that distort true empirical likelihoods and ignore prediction uncertainty; and (3) severe ethical vulnerabilities, including the inclusion of protected demographic attributes and the absence of counterfactual exploration.</w:t>
      </w:r>
    </w:p>
    <w:tbl>
      <w:tblPr>
        <w:tblW w:w="0" w:type="auto"/>
        <w:tblBorders>
          <w:left w:val="single" w:sz="24" w:space="0" w:color="1E3A8A"/>
        </w:tblBorders>
        <w:shd w:val="clear" w:color="auto" w:fill="F6F4F3"/>
        <w:tblLayout w:type="fixed"/>
        <w:tblLook w:val="0000" w:firstRow="0" w:lastRow="0" w:firstColumn="0" w:lastColumn="0" w:noHBand="0" w:noVBand="0"/>
      </w:tblPr>
      <w:tblGrid>
        <w:gridCol w:w="10067"/>
      </w:tblGrid>
      <w:tr w:rsidR="00FF56D3" w14:paraId="6F356243" w14:textId="77777777" w:rsidTr="00FF56D3">
        <w:tc>
          <w:tcPr>
            <w:tcW w:w="10067" w:type="dxa"/>
            <w:shd w:val="clear" w:color="auto" w:fill="F6F4F3"/>
            <w:tcMar>
              <w:top w:w="60" w:type="dxa"/>
              <w:left w:w="140" w:type="dxa"/>
              <w:bottom w:w="60" w:type="dxa"/>
              <w:right w:w="140" w:type="dxa"/>
            </w:tcMar>
          </w:tcPr>
          <w:p w14:paraId="48A14DE0" w14:textId="369F15E7" w:rsidR="00FF56D3" w:rsidRPr="00FF56D3" w:rsidRDefault="00FF56D3" w:rsidP="00FF56D3">
            <w:pPr>
              <w:keepNext/>
              <w:spacing w:after="0" w:line="230" w:lineRule="auto"/>
              <w:jc w:val="both"/>
              <w:rPr>
                <w:rFonts w:ascii="Calibri" w:hAnsi="Calibri" w:cs="Calibri"/>
                <w:color w:val="1F2937"/>
                <w:sz w:val="17"/>
              </w:rPr>
            </w:pPr>
            <w:r w:rsidRPr="00FF56D3">
              <w:rPr>
                <w:rFonts w:ascii="Calibri" w:hAnsi="Calibri" w:cs="Calibri"/>
                <w:color w:val="1F2937"/>
                <w:sz w:val="17"/>
              </w:rPr>
              <w:t xml:space="preserve">Core Architectural Philosophy - Advice, Not Verdict: The Campus Placement Predictor is deliberately designed as an empowering self-assessment and strategic planning instrument for students and mentors, explicitly rejecting any role as an automated screening, ranking, or shortlisting gatekeeper. Its mission is to illuminate actionable, modifiable </w:t>
            </w:r>
            <w:proofErr w:type="spellStart"/>
            <w:r w:rsidRPr="00FF56D3">
              <w:rPr>
                <w:rFonts w:ascii="Calibri" w:hAnsi="Calibri" w:cs="Calibri"/>
                <w:color w:val="1F2937"/>
                <w:sz w:val="17"/>
              </w:rPr>
              <w:t>behaviors</w:t>
            </w:r>
            <w:proofErr w:type="spellEnd"/>
            <w:r w:rsidRPr="00FF56D3">
              <w:rPr>
                <w:rFonts w:ascii="Calibri" w:hAnsi="Calibri" w:cs="Calibri"/>
                <w:color w:val="1F2937"/>
                <w:sz w:val="17"/>
              </w:rPr>
              <w:t xml:space="preserve"> that directly elevate student employability while strictly mitigating algorithmic fatalism.</w:t>
            </w:r>
          </w:p>
        </w:tc>
      </w:tr>
    </w:tbl>
    <w:p w14:paraId="513A4DCE" w14:textId="44C7A649" w:rsidR="00FF56D3" w:rsidRDefault="00FF56D3" w:rsidP="00FF56D3">
      <w:pPr>
        <w:keepNext/>
        <w:spacing w:before="80" w:after="20" w:line="230" w:lineRule="auto"/>
        <w:rPr>
          <w:rFonts w:ascii="Calibri" w:hAnsi="Calibri" w:cs="Calibri"/>
          <w:b/>
          <w:color w:val="1E3A8A"/>
          <w:sz w:val="21"/>
        </w:rPr>
      </w:pPr>
      <w:r w:rsidRPr="00FF56D3">
        <w:rPr>
          <w:rFonts w:ascii="Calibri" w:hAnsi="Calibri" w:cs="Calibri"/>
          <w:b/>
          <w:color w:val="1E3A8A"/>
          <w:sz w:val="21"/>
        </w:rPr>
        <w:t>3. Industry Evaluation Criteria and Multi-Modal Feature Taxonomy</w:t>
      </w:r>
    </w:p>
    <w:p w14:paraId="747917D9" w14:textId="3A3EDAD0"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To ensure rigorous alignment with real-world corporate recruitment, this system formalizes an end-to-end mapping between the 12 corporate placement dimensions and an engineered feature set comprising 20 continuous numerical indicators, 1 categorical contextual field, and modernized digital footprints:</w:t>
      </w:r>
    </w:p>
    <w:tbl>
      <w:tblPr>
        <w:tblW w:w="0" w:type="auto"/>
        <w:tblBorders>
          <w:top w:val="single" w:sz="4" w:space="0" w:color="1E3A8A"/>
          <w:left w:val="single" w:sz="4" w:space="0" w:color="1E3A8A"/>
          <w:bottom w:val="single" w:sz="4" w:space="0" w:color="1E3A8A"/>
          <w:right w:val="single" w:sz="4" w:space="0" w:color="1E3A8A"/>
          <w:insideH w:val="single" w:sz="4" w:space="0" w:color="DBD5D1"/>
          <w:insideV w:val="single" w:sz="4" w:space="0" w:color="DBD5D1"/>
        </w:tblBorders>
        <w:tblLayout w:type="fixed"/>
        <w:tblLook w:val="0000" w:firstRow="0" w:lastRow="0" w:firstColumn="0" w:lastColumn="0" w:noHBand="0" w:noVBand="0"/>
      </w:tblPr>
      <w:tblGrid>
        <w:gridCol w:w="2516"/>
        <w:gridCol w:w="2517"/>
        <w:gridCol w:w="2517"/>
        <w:gridCol w:w="2517"/>
      </w:tblGrid>
      <w:tr w:rsidR="00FF56D3" w:rsidRPr="00FF56D3" w14:paraId="74FB40A4" w14:textId="77777777" w:rsidTr="00FF56D3">
        <w:trPr>
          <w:tblHeader/>
        </w:trPr>
        <w:tc>
          <w:tcPr>
            <w:tcW w:w="2516" w:type="dxa"/>
            <w:tcBorders>
              <w:top w:val="single" w:sz="4" w:space="0" w:color="1E3A8A"/>
              <w:bottom w:val="single" w:sz="4" w:space="0" w:color="DBD5D1"/>
            </w:tcBorders>
            <w:shd w:val="clear" w:color="auto" w:fill="1E3A8A"/>
          </w:tcPr>
          <w:p w14:paraId="3008DE95" w14:textId="32C96055" w:rsidR="00FF56D3" w:rsidRPr="00FF56D3" w:rsidRDefault="00FF56D3" w:rsidP="00FF56D3">
            <w:pPr>
              <w:keepNext/>
              <w:spacing w:after="60" w:line="230" w:lineRule="auto"/>
              <w:jc w:val="both"/>
              <w:rPr>
                <w:rFonts w:ascii="Calibri" w:hAnsi="Calibri" w:cs="Calibri"/>
                <w:b/>
                <w:color w:val="FFFFFF"/>
                <w:sz w:val="16"/>
              </w:rPr>
            </w:pPr>
            <w:r>
              <w:rPr>
                <w:rFonts w:ascii="Calibri" w:hAnsi="Calibri" w:cs="Calibri"/>
                <w:b/>
                <w:color w:val="FFFFFF"/>
                <w:sz w:val="16"/>
              </w:rPr>
              <w:t>Corporate Hiring Dimension</w:t>
            </w:r>
          </w:p>
        </w:tc>
        <w:tc>
          <w:tcPr>
            <w:tcW w:w="2517" w:type="dxa"/>
            <w:tcBorders>
              <w:top w:val="single" w:sz="4" w:space="0" w:color="1E3A8A"/>
              <w:bottom w:val="single" w:sz="4" w:space="0" w:color="DBD5D1"/>
            </w:tcBorders>
            <w:shd w:val="clear" w:color="auto" w:fill="1E3A8A"/>
          </w:tcPr>
          <w:p w14:paraId="5F4FCE7F" w14:textId="72817E5C" w:rsidR="00FF56D3" w:rsidRPr="00FF56D3" w:rsidRDefault="00FF56D3" w:rsidP="00FF56D3">
            <w:pPr>
              <w:keepNext/>
              <w:spacing w:after="60" w:line="230" w:lineRule="auto"/>
              <w:jc w:val="both"/>
              <w:rPr>
                <w:rFonts w:ascii="Calibri" w:hAnsi="Calibri" w:cs="Calibri"/>
                <w:b/>
                <w:color w:val="FFFFFF"/>
                <w:sz w:val="16"/>
              </w:rPr>
            </w:pPr>
            <w:r>
              <w:rPr>
                <w:rFonts w:ascii="Calibri" w:hAnsi="Calibri" w:cs="Calibri"/>
                <w:b/>
                <w:color w:val="FFFFFF"/>
                <w:sz w:val="16"/>
              </w:rPr>
              <w:t>Model Feature Representation</w:t>
            </w:r>
          </w:p>
        </w:tc>
        <w:tc>
          <w:tcPr>
            <w:tcW w:w="2517" w:type="dxa"/>
            <w:tcBorders>
              <w:top w:val="single" w:sz="4" w:space="0" w:color="1E3A8A"/>
              <w:bottom w:val="single" w:sz="4" w:space="0" w:color="DBD5D1"/>
            </w:tcBorders>
            <w:shd w:val="clear" w:color="auto" w:fill="1E3A8A"/>
          </w:tcPr>
          <w:p w14:paraId="13B1CC36" w14:textId="6CD98C53" w:rsidR="00FF56D3" w:rsidRPr="00FF56D3" w:rsidRDefault="00FF56D3" w:rsidP="00FF56D3">
            <w:pPr>
              <w:keepNext/>
              <w:spacing w:after="60" w:line="230" w:lineRule="auto"/>
              <w:jc w:val="both"/>
              <w:rPr>
                <w:rFonts w:ascii="Calibri" w:hAnsi="Calibri" w:cs="Calibri"/>
                <w:b/>
                <w:color w:val="FFFFFF"/>
                <w:sz w:val="16"/>
              </w:rPr>
            </w:pPr>
            <w:r>
              <w:rPr>
                <w:rFonts w:ascii="Calibri" w:hAnsi="Calibri" w:cs="Calibri"/>
                <w:b/>
                <w:color w:val="FFFFFF"/>
                <w:sz w:val="16"/>
              </w:rPr>
              <w:t>Actionability</w:t>
            </w:r>
          </w:p>
        </w:tc>
        <w:tc>
          <w:tcPr>
            <w:tcW w:w="2517" w:type="dxa"/>
            <w:tcBorders>
              <w:top w:val="single" w:sz="4" w:space="0" w:color="1E3A8A"/>
              <w:bottom w:val="single" w:sz="4" w:space="0" w:color="DBD5D1"/>
            </w:tcBorders>
            <w:shd w:val="clear" w:color="auto" w:fill="1E3A8A"/>
          </w:tcPr>
          <w:p w14:paraId="26F3E093" w14:textId="70E9448F" w:rsidR="00FF56D3" w:rsidRPr="00FF56D3" w:rsidRDefault="00FF56D3" w:rsidP="00FF56D3">
            <w:pPr>
              <w:keepNext/>
              <w:spacing w:after="60" w:line="230" w:lineRule="auto"/>
              <w:jc w:val="both"/>
              <w:rPr>
                <w:rFonts w:ascii="Calibri" w:hAnsi="Calibri" w:cs="Calibri"/>
                <w:b/>
                <w:color w:val="FFFFFF"/>
                <w:sz w:val="16"/>
              </w:rPr>
            </w:pPr>
            <w:r>
              <w:rPr>
                <w:rFonts w:ascii="Calibri" w:hAnsi="Calibri" w:cs="Calibri"/>
                <w:b/>
                <w:color w:val="FFFFFF"/>
                <w:sz w:val="16"/>
              </w:rPr>
              <w:t>Monotonic &amp; Governance Rule</w:t>
            </w:r>
          </w:p>
        </w:tc>
      </w:tr>
      <w:tr w:rsidR="00FF56D3" w:rsidRPr="00FF56D3" w14:paraId="076B6CA3" w14:textId="77777777" w:rsidTr="00FF56D3">
        <w:tc>
          <w:tcPr>
            <w:tcW w:w="2516" w:type="dxa"/>
            <w:tcBorders>
              <w:top w:val="single" w:sz="4" w:space="0" w:color="DBD5D1"/>
            </w:tcBorders>
          </w:tcPr>
          <w:p w14:paraId="65EBBA3A" w14:textId="3FF81E41"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1. Academic Performance</w:t>
            </w:r>
          </w:p>
        </w:tc>
        <w:tc>
          <w:tcPr>
            <w:tcW w:w="2517" w:type="dxa"/>
            <w:tcBorders>
              <w:top w:val="single" w:sz="4" w:space="0" w:color="DBD5D1"/>
            </w:tcBorders>
          </w:tcPr>
          <w:p w14:paraId="1F543D95" w14:textId="2CAD8AA4"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CGPA, 10th %, 12th %, Active Backlogs, History</w:t>
            </w:r>
          </w:p>
        </w:tc>
        <w:tc>
          <w:tcPr>
            <w:tcW w:w="2517" w:type="dxa"/>
            <w:tcBorders>
              <w:top w:val="single" w:sz="4" w:space="0" w:color="DBD5D1"/>
            </w:tcBorders>
          </w:tcPr>
          <w:p w14:paraId="7DCB2FED" w14:textId="18AC860E"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Fixed Historical / Active Backlogs</w:t>
            </w:r>
          </w:p>
        </w:tc>
        <w:tc>
          <w:tcPr>
            <w:tcW w:w="2517" w:type="dxa"/>
            <w:tcBorders>
              <w:top w:val="single" w:sz="4" w:space="0" w:color="DBD5D1"/>
            </w:tcBorders>
          </w:tcPr>
          <w:p w14:paraId="76FA9D24" w14:textId="2D9F7DB6"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Active Backlogs strictly Monotonic Negative</w:t>
            </w:r>
          </w:p>
        </w:tc>
      </w:tr>
      <w:tr w:rsidR="00FF56D3" w:rsidRPr="00FF56D3" w14:paraId="2B950517" w14:textId="77777777" w:rsidTr="00FF56D3">
        <w:tc>
          <w:tcPr>
            <w:tcW w:w="2516" w:type="dxa"/>
          </w:tcPr>
          <w:p w14:paraId="3F3354C0" w14:textId="5AA6728D"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2. Coding &amp; Technical Depth</w:t>
            </w:r>
          </w:p>
        </w:tc>
        <w:tc>
          <w:tcPr>
            <w:tcW w:w="2517" w:type="dxa"/>
          </w:tcPr>
          <w:p w14:paraId="2F4711AF" w14:textId="3E857758"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Coding Problems Solved, Contest Rating, Projects</w:t>
            </w:r>
          </w:p>
        </w:tc>
        <w:tc>
          <w:tcPr>
            <w:tcW w:w="2517" w:type="dxa"/>
          </w:tcPr>
          <w:p w14:paraId="547E286F" w14:textId="214048EE"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Highly Actionable</w:t>
            </w:r>
          </w:p>
        </w:tc>
        <w:tc>
          <w:tcPr>
            <w:tcW w:w="2517" w:type="dxa"/>
          </w:tcPr>
          <w:p w14:paraId="06E21D91" w14:textId="3A3AA3C2"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 xml:space="preserve">Monotonic Positive; </w:t>
            </w:r>
            <w:proofErr w:type="gramStart"/>
            <w:r>
              <w:rPr>
                <w:rFonts w:ascii="Calibri" w:hAnsi="Calibri" w:cs="Calibri"/>
                <w:sz w:val="16"/>
              </w:rPr>
              <w:t>proxies</w:t>
            </w:r>
            <w:proofErr w:type="gramEnd"/>
            <w:r>
              <w:rPr>
                <w:rFonts w:ascii="Calibri" w:hAnsi="Calibri" w:cs="Calibri"/>
                <w:sz w:val="16"/>
              </w:rPr>
              <w:t xml:space="preserve"> practical acumen</w:t>
            </w:r>
          </w:p>
        </w:tc>
      </w:tr>
      <w:tr w:rsidR="00FF56D3" w:rsidRPr="00FF56D3" w14:paraId="199404C9" w14:textId="77777777" w:rsidTr="00FF56D3">
        <w:tc>
          <w:tcPr>
            <w:tcW w:w="2516" w:type="dxa"/>
          </w:tcPr>
          <w:p w14:paraId="0EF10CCA" w14:textId="76A92662"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3. Practical &amp; Social Footprint</w:t>
            </w:r>
          </w:p>
        </w:tc>
        <w:tc>
          <w:tcPr>
            <w:tcW w:w="2517" w:type="dxa"/>
          </w:tcPr>
          <w:p w14:paraId="50845528" w14:textId="523286CB"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Internship Months, GitHub Repos/Stars, LinkedIn</w:t>
            </w:r>
          </w:p>
        </w:tc>
        <w:tc>
          <w:tcPr>
            <w:tcW w:w="2517" w:type="dxa"/>
          </w:tcPr>
          <w:p w14:paraId="7FC3CD13" w14:textId="776A0A0F"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Actionable (Continuous)</w:t>
            </w:r>
          </w:p>
        </w:tc>
        <w:tc>
          <w:tcPr>
            <w:tcW w:w="2517" w:type="dxa"/>
          </w:tcPr>
          <w:p w14:paraId="159F412C" w14:textId="3A10EC5E"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Quantifies modern verifiable developer activity</w:t>
            </w:r>
          </w:p>
        </w:tc>
      </w:tr>
      <w:tr w:rsidR="00FF56D3" w:rsidRPr="00FF56D3" w14:paraId="07339CE3" w14:textId="77777777" w:rsidTr="00FF56D3">
        <w:tc>
          <w:tcPr>
            <w:tcW w:w="2516" w:type="dxa"/>
          </w:tcPr>
          <w:p w14:paraId="5E8857A7" w14:textId="3648A2FF"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4. Aptitude &amp; Communication</w:t>
            </w:r>
          </w:p>
        </w:tc>
        <w:tc>
          <w:tcPr>
            <w:tcW w:w="2517" w:type="dxa"/>
          </w:tcPr>
          <w:p w14:paraId="2F978A32" w14:textId="1BA1EA1B"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Mock Aptitude Score %, Soft Skill Rating (1-5)</w:t>
            </w:r>
          </w:p>
        </w:tc>
        <w:tc>
          <w:tcPr>
            <w:tcW w:w="2517" w:type="dxa"/>
          </w:tcPr>
          <w:p w14:paraId="639D628C" w14:textId="2D9EBCA4"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Actionable</w:t>
            </w:r>
          </w:p>
        </w:tc>
        <w:tc>
          <w:tcPr>
            <w:tcW w:w="2517" w:type="dxa"/>
          </w:tcPr>
          <w:p w14:paraId="27DA9284" w14:textId="3DB7A736"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First-round elimination proxy; training cell score</w:t>
            </w:r>
          </w:p>
        </w:tc>
      </w:tr>
      <w:tr w:rsidR="00FF56D3" w:rsidRPr="00FF56D3" w14:paraId="01D71190" w14:textId="77777777" w:rsidTr="00FF56D3">
        <w:tc>
          <w:tcPr>
            <w:tcW w:w="2516" w:type="dxa"/>
          </w:tcPr>
          <w:p w14:paraId="62165627" w14:textId="49968EF8"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5. Qualitative Traits (Attitude, Fit)</w:t>
            </w:r>
          </w:p>
        </w:tc>
        <w:tc>
          <w:tcPr>
            <w:tcW w:w="2517" w:type="dxa"/>
          </w:tcPr>
          <w:p w14:paraId="0DF3FE06" w14:textId="2FF79D75"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EXCLUDED FROM ML PIPELINE SCOPE</w:t>
            </w:r>
          </w:p>
        </w:tc>
        <w:tc>
          <w:tcPr>
            <w:tcW w:w="2517" w:type="dxa"/>
          </w:tcPr>
          <w:p w14:paraId="6464D636" w14:textId="4960516B"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Unmeasurable</w:t>
            </w:r>
          </w:p>
        </w:tc>
        <w:tc>
          <w:tcPr>
            <w:tcW w:w="2517" w:type="dxa"/>
          </w:tcPr>
          <w:p w14:paraId="0B7AD200" w14:textId="0F204D64" w:rsidR="00FF56D3" w:rsidRPr="00FF56D3" w:rsidRDefault="00FF56D3" w:rsidP="00FF56D3">
            <w:pPr>
              <w:keepNext/>
              <w:spacing w:after="60" w:line="230" w:lineRule="auto"/>
              <w:jc w:val="both"/>
              <w:rPr>
                <w:rFonts w:ascii="Calibri" w:hAnsi="Calibri" w:cs="Calibri"/>
                <w:sz w:val="16"/>
              </w:rPr>
            </w:pPr>
            <w:r>
              <w:rPr>
                <w:rFonts w:ascii="Calibri" w:hAnsi="Calibri" w:cs="Calibri"/>
                <w:sz w:val="16"/>
              </w:rPr>
              <w:t>Mandatory UI disclosure: Requires live interview</w:t>
            </w:r>
          </w:p>
        </w:tc>
      </w:tr>
    </w:tbl>
    <w:p w14:paraId="59AF410E" w14:textId="5BCEB1C3" w:rsidR="00FF56D3" w:rsidRPr="00424898" w:rsidRDefault="00FF56D3" w:rsidP="00424898">
      <w:r w:rsidRPr="00FF56D3">
        <w:rPr>
          <w:rFonts w:ascii="Calibri" w:hAnsi="Calibri" w:cs="Calibri"/>
          <w:b/>
          <w:color w:val="1E3A8A"/>
          <w:sz w:val="21"/>
        </w:rPr>
        <w:t>4. Technical System Architecture and Dual-Engine Innovation</w:t>
      </w:r>
    </w:p>
    <w:p w14:paraId="1001F057" w14:textId="356E0429"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The system introduces an innovative Dual-Execution Machine Learning Engine that harmonizes institutional-grade predictive reliability with instantaneous client-side accessibility across two operational tiers:</w:t>
      </w:r>
    </w:p>
    <w:p w14:paraId="18196D7F" w14:textId="31106EDF"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 xml:space="preserve">Tier 1: Scalable </w:t>
      </w:r>
      <w:proofErr w:type="spellStart"/>
      <w:r w:rsidRPr="00FF56D3">
        <w:rPr>
          <w:rFonts w:ascii="Calibri" w:hAnsi="Calibri" w:cs="Calibri"/>
          <w:color w:val="1F2937"/>
          <w:sz w:val="18"/>
        </w:rPr>
        <w:t>FastAPI</w:t>
      </w:r>
      <w:proofErr w:type="spellEnd"/>
      <w:r w:rsidRPr="00FF56D3">
        <w:rPr>
          <w:rFonts w:ascii="Calibri" w:hAnsi="Calibri" w:cs="Calibri"/>
          <w:color w:val="1F2937"/>
          <w:sz w:val="18"/>
        </w:rPr>
        <w:t xml:space="preserve"> REST API Server (Python) - Hosts the complete scikit-learn machine learning pipeline. The core estimator employs L2-regularized Logistic Regression coupled with 5-fold Platt Sigmoid Scaling (</w:t>
      </w:r>
      <w:proofErr w:type="spellStart"/>
      <w:r w:rsidRPr="00FF56D3">
        <w:rPr>
          <w:rFonts w:ascii="Calibri" w:hAnsi="Calibri" w:cs="Calibri"/>
          <w:color w:val="1F2937"/>
          <w:sz w:val="18"/>
        </w:rPr>
        <w:t>CalibratedClassifierCV</w:t>
      </w:r>
      <w:proofErr w:type="spellEnd"/>
      <w:r w:rsidRPr="00FF56D3">
        <w:rPr>
          <w:rFonts w:ascii="Calibri" w:hAnsi="Calibri" w:cs="Calibri"/>
          <w:color w:val="1F2937"/>
          <w:sz w:val="18"/>
        </w:rPr>
        <w:t>) to yield true empirical probabilities. To reflect uncertainty honestly, each score is accompanied by an 80% bootstrap confidence interval derived from 200 resamples and mapped into intuitive likelihood tiers (Lower, Moderate, Higher Likelihood).</w:t>
      </w:r>
    </w:p>
    <w:p w14:paraId="10038D58" w14:textId="3272D80F"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Tier 2: Zero-Dependency Client-Side Engine (Vanilla JavaScript) - An embedded mathematical inference engine embedded directly within the client single-page application (SPA). Replicating identical logit weights, standardization means, and stream-specific intercepts, it allows full offline functionality and real-time inference without requiring a live Python daemon.</w:t>
      </w:r>
    </w:p>
    <w:p w14:paraId="538EB1EF" w14:textId="383EC100"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 xml:space="preserve">Additive Local Explainability and What-If Simulation - Every prediction calculates exact signed logit contributions, translating abstract mathematical weights into plain-language bullet points highlighting the top positive and negative factors governing the outcome. The </w:t>
      </w:r>
      <w:r w:rsidRPr="00FF56D3">
        <w:rPr>
          <w:rFonts w:ascii="Calibri" w:hAnsi="Calibri" w:cs="Calibri"/>
          <w:color w:val="1F2937"/>
          <w:sz w:val="18"/>
        </w:rPr>
        <w:lastRenderedPageBreak/>
        <w:t>embedded What-If Simulator allows students to dynamically manipulate actionable parameters (e.g., resolving active backlogs, solving 50 additional coding problems) to visualize immediate counterfactual deltas in probability.</w:t>
      </w:r>
    </w:p>
    <w:p w14:paraId="5ED10F75" w14:textId="154ADE56" w:rsidR="00FF56D3" w:rsidRDefault="00FF56D3" w:rsidP="00FF56D3">
      <w:pPr>
        <w:keepNext/>
        <w:spacing w:before="80" w:after="20" w:line="230" w:lineRule="auto"/>
        <w:rPr>
          <w:rFonts w:ascii="Calibri" w:hAnsi="Calibri" w:cs="Calibri"/>
          <w:b/>
          <w:color w:val="1E3A8A"/>
          <w:sz w:val="21"/>
        </w:rPr>
      </w:pPr>
      <w:r w:rsidRPr="00FF56D3">
        <w:rPr>
          <w:rFonts w:ascii="Calibri" w:hAnsi="Calibri" w:cs="Calibri"/>
          <w:b/>
          <w:color w:val="1E3A8A"/>
          <w:sz w:val="21"/>
        </w:rPr>
        <w:t>5. Responsible AI Framework, Fairness Auditing and Ethical Governance</w:t>
      </w:r>
    </w:p>
    <w:p w14:paraId="50AAB7B1" w14:textId="4055DE23"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In strict adherence to Responsible AI and algorithmic fairness standards, the project institutes comprehensive architectural guardrails:</w:t>
      </w:r>
    </w:p>
    <w:p w14:paraId="113959DA" w14:textId="7B3794CF"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1. Demographic Attribute Exclusion: Sensitive demographic attributes including gender, caste, religion, socio-economic markers, and institutional identifiers are strictly excluded from the training and inference pipeline, eliminating disparate treatment by design.</w:t>
      </w:r>
    </w:p>
    <w:p w14:paraId="6EEFEDA4" w14:textId="1B92BFAE"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2. Post-Hoc Demographic Fairness Audits: To prevent proxy discrimination, automated release gates audit model performance across demographic subgroups during each training cycle. Release criteria mandate that True Positive Rate (TPR) and False Positive Rate (FPR) parity gaps must remain strictly within |Delta TPR| &lt;= 0.10.</w:t>
      </w:r>
    </w:p>
    <w:p w14:paraId="740138A9" w14:textId="6DE7B2B6"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3. Statistical Calibration Gates: The pipeline enforces Expected Calibration Error (ECE) &lt;= 0.08 and cross-validated ROC-AUC &gt;= 0.75, ensuring predictions represent reliable, empirically validated likelihoods rather than distorted extremes.</w:t>
      </w:r>
    </w:p>
    <w:p w14:paraId="12B3CBD5" w14:textId="7CC9163E"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4. Data Minimization and Privacy by Design: Student profiles are processed ephemerally in-memory and are never persisted by default. Full GDPR-style compliance is enforced via an explicit user consent protocol and a dedicated DELETE /v1/data endpoint for instant record purging.</w:t>
      </w:r>
    </w:p>
    <w:p w14:paraId="3FDB84BD" w14:textId="63800D17" w:rsidR="00FF56D3" w:rsidRDefault="00FF56D3" w:rsidP="00FF56D3">
      <w:pPr>
        <w:keepNext/>
        <w:spacing w:before="80" w:after="20" w:line="230" w:lineRule="auto"/>
        <w:rPr>
          <w:rFonts w:ascii="Calibri" w:hAnsi="Calibri" w:cs="Calibri"/>
          <w:b/>
          <w:color w:val="1E3A8A"/>
          <w:sz w:val="21"/>
        </w:rPr>
      </w:pPr>
      <w:r w:rsidRPr="00FF56D3">
        <w:rPr>
          <w:rFonts w:ascii="Calibri" w:hAnsi="Calibri" w:cs="Calibri"/>
          <w:b/>
          <w:color w:val="1E3A8A"/>
          <w:sz w:val="21"/>
        </w:rPr>
        <w:t>6. Mini Project Implementation Scope, User Experience and Deliverables</w:t>
      </w:r>
    </w:p>
    <w:p w14:paraId="044872A2" w14:textId="5A3FCCBD"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 xml:space="preserve">The deliverables of this mini project encompass a production-ready, dark </w:t>
      </w:r>
      <w:proofErr w:type="spellStart"/>
      <w:r w:rsidRPr="00FF56D3">
        <w:rPr>
          <w:rFonts w:ascii="Calibri" w:hAnsi="Calibri" w:cs="Calibri"/>
          <w:color w:val="1F2937"/>
          <w:sz w:val="18"/>
        </w:rPr>
        <w:t>glassmorphism</w:t>
      </w:r>
      <w:proofErr w:type="spellEnd"/>
      <w:r w:rsidRPr="00FF56D3">
        <w:rPr>
          <w:rFonts w:ascii="Calibri" w:hAnsi="Calibri" w:cs="Calibri"/>
          <w:color w:val="1F2937"/>
          <w:sz w:val="18"/>
        </w:rPr>
        <w:t xml:space="preserve"> web platform structured into five functional modules: (1) Student Assessment Portal with interactive probability gauge and factor explanations; (2) Actionable What-If Counterfactual Simulator; (3) Cohort and Departmental Analytics Dashboard; (4) Formal Model Card detailing validation metrics, intended use, and limitations; and (5) Audit and Admin Console with live fairness logs and data wipe utilities.</w:t>
      </w:r>
    </w:p>
    <w:p w14:paraId="6E1712BE" w14:textId="063700AF" w:rsidR="00FF56D3" w:rsidRDefault="00FF56D3" w:rsidP="00FF56D3">
      <w:pPr>
        <w:keepNext/>
        <w:spacing w:before="80" w:after="20" w:line="230" w:lineRule="auto"/>
        <w:rPr>
          <w:rFonts w:ascii="Calibri" w:hAnsi="Calibri" w:cs="Calibri"/>
          <w:b/>
          <w:color w:val="1E3A8A"/>
          <w:sz w:val="21"/>
        </w:rPr>
      </w:pPr>
      <w:r w:rsidRPr="00FF56D3">
        <w:rPr>
          <w:rFonts w:ascii="Calibri" w:hAnsi="Calibri" w:cs="Calibri"/>
          <w:b/>
          <w:color w:val="1E3A8A"/>
          <w:sz w:val="21"/>
        </w:rPr>
        <w:t>7. Organization of the Project Report</w:t>
      </w:r>
    </w:p>
    <w:p w14:paraId="6BB9FCB4" w14:textId="4074FFCE" w:rsidR="00FF56D3" w:rsidRDefault="00FF56D3" w:rsidP="00FF56D3">
      <w:pPr>
        <w:keepNext/>
        <w:spacing w:after="60" w:line="230" w:lineRule="auto"/>
        <w:jc w:val="both"/>
        <w:rPr>
          <w:rFonts w:ascii="Calibri" w:hAnsi="Calibri" w:cs="Calibri"/>
          <w:color w:val="1F2937"/>
          <w:sz w:val="18"/>
        </w:rPr>
      </w:pPr>
      <w:r w:rsidRPr="00FF56D3">
        <w:rPr>
          <w:rFonts w:ascii="Calibri" w:hAnsi="Calibri" w:cs="Calibri"/>
          <w:color w:val="1F2937"/>
          <w:sz w:val="18"/>
        </w:rPr>
        <w:t>The remainder of this report is organized as follows: Chapter 2 reviews the literature on educational data mining, corporate evaluation criteria, and explainable AI; Chapter 3 details the system architecture, mathematical formulation, and calibration pipeline; Chapter 4 elaborates on the empirical implementation, synthetic data generation, and UI engineering; Chapter 5 presents the experimental validation, release gate verification, and fairness audit results; and Chapter 6 concludes with actionable recommendations and future research vectors.</w:t>
      </w:r>
    </w:p>
    <w:p w14:paraId="325B65D5" w14:textId="77777777" w:rsidR="00FF56D3" w:rsidRDefault="00FF56D3" w:rsidP="00FF56D3">
      <w:pPr>
        <w:keepNext/>
        <w:spacing w:after="60" w:line="230" w:lineRule="auto"/>
        <w:jc w:val="both"/>
      </w:pPr>
    </w:p>
    <w:sectPr w:rsidR="00FF56D3" w:rsidSect="00FF56D3">
      <w:headerReference w:type="even" r:id="rId6"/>
      <w:headerReference w:type="default" r:id="rId7"/>
      <w:footerReference w:type="even" r:id="rId8"/>
      <w:footerReference w:type="default" r:id="rId9"/>
      <w:headerReference w:type="first" r:id="rId10"/>
      <w:footerReference w:type="first" r:id="rId11"/>
      <w:pgSz w:w="11907" w:h="16839"/>
      <w:pgMar w:top="760" w:right="920" w:bottom="760" w:left="9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11FCF" w14:textId="77777777" w:rsidR="00CD032E" w:rsidRDefault="00CD032E" w:rsidP="00FF56D3">
      <w:pPr>
        <w:spacing w:after="0" w:line="240" w:lineRule="auto"/>
      </w:pPr>
      <w:r>
        <w:separator/>
      </w:r>
    </w:p>
  </w:endnote>
  <w:endnote w:type="continuationSeparator" w:id="0">
    <w:p w14:paraId="42BA3D69" w14:textId="77777777" w:rsidR="00CD032E" w:rsidRDefault="00CD032E" w:rsidP="00FF5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A81C" w14:textId="77777777" w:rsidR="00FF56D3" w:rsidRDefault="00FF56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0D6CA" w14:textId="0F3DD463" w:rsidR="00FF56D3" w:rsidRPr="00FF56D3" w:rsidRDefault="00FF56D3">
    <w:pPr>
      <w:pStyle w:val="Footer"/>
      <w:rPr>
        <w:rFonts w:ascii="Calibri" w:hAnsi="Calibri"/>
        <w:color w:val="80726B"/>
        <w:sz w:val="17"/>
      </w:rPr>
    </w:pPr>
    <w:r w:rsidRPr="00FF56D3">
      <w:rPr>
        <w:rFonts w:ascii="Calibri" w:hAnsi="Calibri"/>
        <w:color w:val="80726B"/>
        <w:sz w:val="17"/>
      </w:rPr>
      <w:t xml:space="preserve">Chapter 1: </w:t>
    </w:r>
    <w:proofErr w:type="gramStart"/>
    <w:r w:rsidRPr="00FF56D3">
      <w:rPr>
        <w:rFonts w:ascii="Calibri" w:hAnsi="Calibri"/>
        <w:color w:val="80726B"/>
        <w:sz w:val="17"/>
      </w:rPr>
      <w:t>Introduction  |</w:t>
    </w:r>
    <w:proofErr w:type="gramEnd"/>
    <w:r w:rsidRPr="00FF56D3">
      <w:rPr>
        <w:rFonts w:ascii="Calibri" w:hAnsi="Calibri"/>
        <w:color w:val="80726B"/>
        <w:sz w:val="17"/>
      </w:rPr>
      <w:t xml:space="preserve">  Dual-Execution Architecture &amp; Responsible AI </w:t>
    </w:r>
    <w:proofErr w:type="gramStart"/>
    <w:r w:rsidRPr="00FF56D3">
      <w:rPr>
        <w:rFonts w:ascii="Calibri" w:hAnsi="Calibri"/>
        <w:color w:val="80726B"/>
        <w:sz w:val="17"/>
      </w:rPr>
      <w:t>Framework  |</w:t>
    </w:r>
    <w:proofErr w:type="gramEnd"/>
    <w:r w:rsidRPr="00FF56D3">
      <w:rPr>
        <w:rFonts w:ascii="Calibri" w:hAnsi="Calibri"/>
        <w:color w:val="80726B"/>
        <w:sz w:val="17"/>
      </w:rPr>
      <w:t xml:space="preserve">  Page </w:t>
    </w:r>
    <w:r>
      <w:rPr>
        <w:rFonts w:ascii="Calibri" w:hAnsi="Calibri"/>
        <w:color w:val="80726B"/>
        <w:sz w:val="17"/>
      </w:rPr>
      <w:fldChar w:fldCharType="begin"/>
    </w:r>
    <w:r>
      <w:rPr>
        <w:rFonts w:ascii="Calibri" w:hAnsi="Calibri"/>
        <w:color w:val="80726B"/>
        <w:sz w:val="17"/>
      </w:rPr>
      <w:instrText xml:space="preserve"> PAGE  \* MERGEFORMAT </w:instrText>
    </w:r>
    <w:r>
      <w:rPr>
        <w:rFonts w:ascii="Calibri" w:hAnsi="Calibri"/>
        <w:color w:val="80726B"/>
        <w:sz w:val="17"/>
      </w:rPr>
      <w:fldChar w:fldCharType="separate"/>
    </w:r>
    <w:r>
      <w:rPr>
        <w:rFonts w:ascii="Calibri" w:hAnsi="Calibri"/>
        <w:noProof/>
        <w:color w:val="80726B"/>
        <w:sz w:val="17"/>
      </w:rPr>
      <w:t>1</w:t>
    </w:r>
    <w:r>
      <w:rPr>
        <w:rFonts w:ascii="Calibri" w:hAnsi="Calibri"/>
        <w:color w:val="80726B"/>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7541C" w14:textId="77777777" w:rsidR="00FF56D3" w:rsidRDefault="00FF5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A8E67" w14:textId="77777777" w:rsidR="00CD032E" w:rsidRDefault="00CD032E" w:rsidP="00FF56D3">
      <w:pPr>
        <w:spacing w:after="0" w:line="240" w:lineRule="auto"/>
      </w:pPr>
      <w:r>
        <w:separator/>
      </w:r>
    </w:p>
  </w:footnote>
  <w:footnote w:type="continuationSeparator" w:id="0">
    <w:p w14:paraId="7483927E" w14:textId="77777777" w:rsidR="00CD032E" w:rsidRDefault="00CD032E" w:rsidP="00FF5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CB531" w14:textId="77777777" w:rsidR="00FF56D3" w:rsidRDefault="00FF56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BA3A" w14:textId="46A2946E" w:rsidR="00FF56D3" w:rsidRPr="00FF56D3" w:rsidRDefault="00FF56D3" w:rsidP="00FF56D3">
    <w:pPr>
      <w:pStyle w:val="Header"/>
      <w:jc w:val="right"/>
      <w:rPr>
        <w:rFonts w:ascii="Calibri" w:hAnsi="Calibri"/>
        <w:color w:val="80726B"/>
        <w:sz w:val="17"/>
      </w:rPr>
    </w:pPr>
    <w:r w:rsidRPr="00FF56D3">
      <w:rPr>
        <w:rFonts w:ascii="Calibri" w:hAnsi="Calibri"/>
        <w:color w:val="80726B"/>
        <w:sz w:val="17"/>
      </w:rPr>
      <w:t xml:space="preserve">CAMPUS PLACEMENT </w:t>
    </w:r>
    <w:proofErr w:type="gramStart"/>
    <w:r w:rsidRPr="00FF56D3">
      <w:rPr>
        <w:rFonts w:ascii="Calibri" w:hAnsi="Calibri"/>
        <w:color w:val="80726B"/>
        <w:sz w:val="17"/>
      </w:rPr>
      <w:t>PREDICTOR  |</w:t>
    </w:r>
    <w:proofErr w:type="gramEnd"/>
    <w:r w:rsidRPr="00FF56D3">
      <w:rPr>
        <w:rFonts w:ascii="Calibri" w:hAnsi="Calibri"/>
        <w:color w:val="80726B"/>
        <w:sz w:val="17"/>
      </w:rPr>
      <w:t xml:space="preserve">  MACHINE LEARNING MINI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BC33" w14:textId="77777777" w:rsidR="00FF56D3" w:rsidRDefault="00FF56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D3"/>
    <w:rsid w:val="002C69A0"/>
    <w:rsid w:val="00424898"/>
    <w:rsid w:val="00663B4A"/>
    <w:rsid w:val="00AE49CF"/>
    <w:rsid w:val="00CD032E"/>
    <w:rsid w:val="00FF5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A5B6B"/>
  <w15:chartTrackingRefBased/>
  <w15:docId w15:val="{711A944E-8467-413E-A29B-54E55E6FE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6D3"/>
    <w:rPr>
      <w:rFonts w:eastAsiaTheme="majorEastAsia" w:cstheme="majorBidi"/>
      <w:color w:val="272727" w:themeColor="text1" w:themeTint="D8"/>
    </w:rPr>
  </w:style>
  <w:style w:type="paragraph" w:styleId="Title">
    <w:name w:val="Title"/>
    <w:basedOn w:val="Normal"/>
    <w:next w:val="Normal"/>
    <w:link w:val="TitleChar"/>
    <w:uiPriority w:val="10"/>
    <w:qFormat/>
    <w:rsid w:val="00FF5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6D3"/>
    <w:pPr>
      <w:spacing w:before="160"/>
      <w:jc w:val="center"/>
    </w:pPr>
    <w:rPr>
      <w:i/>
      <w:iCs/>
      <w:color w:val="404040" w:themeColor="text1" w:themeTint="BF"/>
    </w:rPr>
  </w:style>
  <w:style w:type="character" w:customStyle="1" w:styleId="QuoteChar">
    <w:name w:val="Quote Char"/>
    <w:basedOn w:val="DefaultParagraphFont"/>
    <w:link w:val="Quote"/>
    <w:uiPriority w:val="29"/>
    <w:rsid w:val="00FF56D3"/>
    <w:rPr>
      <w:i/>
      <w:iCs/>
      <w:color w:val="404040" w:themeColor="text1" w:themeTint="BF"/>
    </w:rPr>
  </w:style>
  <w:style w:type="paragraph" w:styleId="ListParagraph">
    <w:name w:val="List Paragraph"/>
    <w:basedOn w:val="Normal"/>
    <w:uiPriority w:val="34"/>
    <w:qFormat/>
    <w:rsid w:val="00FF56D3"/>
    <w:pPr>
      <w:ind w:left="720"/>
      <w:contextualSpacing/>
    </w:pPr>
  </w:style>
  <w:style w:type="character" w:styleId="IntenseEmphasis">
    <w:name w:val="Intense Emphasis"/>
    <w:basedOn w:val="DefaultParagraphFont"/>
    <w:uiPriority w:val="21"/>
    <w:qFormat/>
    <w:rsid w:val="00FF56D3"/>
    <w:rPr>
      <w:i/>
      <w:iCs/>
      <w:color w:val="0F4761" w:themeColor="accent1" w:themeShade="BF"/>
    </w:rPr>
  </w:style>
  <w:style w:type="paragraph" w:styleId="IntenseQuote">
    <w:name w:val="Intense Quote"/>
    <w:basedOn w:val="Normal"/>
    <w:next w:val="Normal"/>
    <w:link w:val="IntenseQuoteChar"/>
    <w:uiPriority w:val="30"/>
    <w:qFormat/>
    <w:rsid w:val="00FF5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6D3"/>
    <w:rPr>
      <w:i/>
      <w:iCs/>
      <w:color w:val="0F4761" w:themeColor="accent1" w:themeShade="BF"/>
    </w:rPr>
  </w:style>
  <w:style w:type="character" w:styleId="IntenseReference">
    <w:name w:val="Intense Reference"/>
    <w:basedOn w:val="DefaultParagraphFont"/>
    <w:uiPriority w:val="32"/>
    <w:qFormat/>
    <w:rsid w:val="00FF56D3"/>
    <w:rPr>
      <w:b/>
      <w:bCs/>
      <w:smallCaps/>
      <w:color w:val="0F4761" w:themeColor="accent1" w:themeShade="BF"/>
      <w:spacing w:val="5"/>
    </w:rPr>
  </w:style>
  <w:style w:type="paragraph" w:styleId="Header">
    <w:name w:val="header"/>
    <w:basedOn w:val="Normal"/>
    <w:link w:val="HeaderChar"/>
    <w:uiPriority w:val="99"/>
    <w:unhideWhenUsed/>
    <w:rsid w:val="00FF5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56D3"/>
  </w:style>
  <w:style w:type="paragraph" w:styleId="Footer">
    <w:name w:val="footer"/>
    <w:basedOn w:val="Normal"/>
    <w:link w:val="FooterChar"/>
    <w:uiPriority w:val="99"/>
    <w:unhideWhenUsed/>
    <w:rsid w:val="00FF5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56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1209</Words>
  <Characters>6893</Characters>
  <Application>Microsoft Office Word</Application>
  <DocSecurity>0</DocSecurity>
  <Lines>57</Lines>
  <Paragraphs>16</Paragraphs>
  <ScaleCrop>false</ScaleCrop>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Zinat Khan</dc:creator>
  <cp:keywords/>
  <dc:description/>
  <cp:lastModifiedBy>Zinat Khan</cp:lastModifiedBy>
  <cp:revision>2</cp:revision>
  <dcterms:created xsi:type="dcterms:W3CDTF">2026-09-23T14:23:00Z</dcterms:created>
  <dcterms:modified xsi:type="dcterms:W3CDTF">2026-09-23T14:31:00Z</dcterms:modified>
</cp:coreProperties>
</file>