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B86E" w14:textId="57D02A81" w:rsidR="00FF56D3" w:rsidRDefault="00FF56D3" w:rsidP="00FF56D3">
      <w:pPr>
        <w:spacing w:after="20"/>
        <w:rPr>
          <w:rFonts w:ascii="Calibri" w:hAnsi="Calibri" w:cs="Calibri"/>
          <w:b/>
          <w:color w:val="1E3A8A"/>
          <w:sz w:val="31"/>
        </w:rPr>
      </w:pPr>
      <w:r w:rsidRPr="00FF56D3">
        <w:rPr>
          <w:rFonts w:ascii="Calibri" w:hAnsi="Calibri" w:cs="Calibri"/>
          <w:b/>
          <w:color w:val="1E3A8A"/>
          <w:sz w:val="31"/>
        </w:rPr>
        <w:t>CAMPUS PLACEMENT PREDICTOR: AN INTERPRETABLE ML SYSTEM</w:t>
      </w:r>
    </w:p>
    <w:p w14:paraId="483229D3" w14:textId="477B67FB" w:rsidR="00FF56D3" w:rsidRDefault="00FF56D3" w:rsidP="00FF56D3">
      <w:pPr>
        <w:spacing w:after="60"/>
        <w:rPr>
          <w:rFonts w:ascii="Calibri" w:hAnsi="Calibri" w:cs="Calibri"/>
          <w:color w:val="0D9488"/>
          <w:sz w:val="20"/>
        </w:rPr>
      </w:pPr>
      <w:r w:rsidRPr="00FF56D3">
        <w:rPr>
          <w:rFonts w:ascii="Calibri" w:hAnsi="Calibri" w:cs="Calibri"/>
          <w:color w:val="0D9488"/>
          <w:sz w:val="20"/>
        </w:rPr>
        <w:t>Project Introduction, Industry Motivation, and Responsible AI Architecture</w:t>
      </w:r>
    </w:p>
    <w:p w14:paraId="7D5F1C39" w14:textId="44CAA18E" w:rsidR="00FF56D3" w:rsidRDefault="00FF56D3" w:rsidP="00FF56D3">
      <w:pPr>
        <w:spacing w:after="100"/>
        <w:rPr>
          <w:rFonts w:ascii="Calibri" w:hAnsi="Calibri" w:cs="Calibri"/>
          <w:i/>
          <w:color w:val="80726B"/>
          <w:sz w:val="17"/>
        </w:rPr>
      </w:pPr>
      <w:r w:rsidRPr="00FF56D3">
        <w:rPr>
          <w:rFonts w:ascii="Calibri" w:hAnsi="Calibri" w:cs="Calibri"/>
          <w:i/>
          <w:color w:val="80726B"/>
          <w:sz w:val="17"/>
        </w:rPr>
        <w:t>Academic ML Mini Project  |  Version: 2026.2.0-social  |  Domain: Educational Data Mining and Talent Analytics  |  Stack: Scikit-Learn, FastAPI, Vanilla JS</w:t>
      </w:r>
    </w:p>
    <w:p w14:paraId="28943E2A" w14:textId="5A21991D" w:rsidR="00FF56D3" w:rsidRDefault="00FF56D3" w:rsidP="00FF56D3">
      <w:pPr>
        <w:keepNext/>
        <w:spacing w:before="80" w:after="20"/>
        <w:rPr>
          <w:rFonts w:ascii="Calibri" w:hAnsi="Calibri" w:cs="Calibri"/>
          <w:b/>
          <w:color w:val="1E3A8A"/>
          <w:sz w:val="21"/>
        </w:rPr>
      </w:pPr>
      <w:r w:rsidRPr="00FF56D3">
        <w:rPr>
          <w:rFonts w:ascii="Calibri" w:hAnsi="Calibri" w:cs="Calibri"/>
          <w:b/>
          <w:color w:val="1E3A8A"/>
          <w:sz w:val="21"/>
        </w:rPr>
        <w:t>1. Background, Context, and Industry Motivation</w:t>
      </w:r>
    </w:p>
    <w:p w14:paraId="527E248C" w14:textId="53059C20"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Campus placement drives represent a pivotal milestone in undergraduate engineering and technical education, serving as the primary institutional gateway bridging academic curricula with competitive professional careers. In the contemporary recruitment landscape, corporate evaluation standards have expanded well beyond cumulative grade point averages (CGPA). Leading technology enterprises and multinational corporations assess candidates across twelve multifaceted criteria: foundational academic consistency, quantitative and logical aptitude, core technical proficiency, algorithmic coding and problem solving, software engineering project portfolios, practical internship experience, and interpersonal communication.</w:t>
      </w:r>
    </w:p>
    <w:p w14:paraId="0E219982" w14:textId="0D1ED5A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Despite the decisive importance of these recruitment drives, students frequently operate in an environment characterized by systemic opacity. Benchmark hiring cutoffs and selection criteria vary significantly across organizations, leaving candidates reliant on anecdotal hearsay, peer speculation, and late-stage diagnostic feedback that occurs only after a student has experienced rejection in preliminary aptitude or coding screening rounds. Simultaneously, institutional Training and Placement Cells (TPOs) lack automated, early-warning diagnostic tools to detect at-risk candidates in preceding semesters, hindering timely pedagogical guidance, structured mock drills, and remedial technical training.</w:t>
      </w:r>
    </w:p>
    <w:p w14:paraId="77EBDAA0" w14:textId="2E2F1C25"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2. Problem Statement and Guiding Philosophy: 'Advice, Not Verdict'</w:t>
      </w:r>
    </w:p>
    <w:p w14:paraId="4FC3E3C6" w14:textId="7657950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Existing automated placement prediction tools in literature and commercial practice exhibit three structural deficiencies: (1) reliance on opaque 'black-box' architectures (deep neural networks or unconstrained ensembles) that output static probability scores without explanatory insight; (2) uncalibrated probability estimates that distort true empirical likelihoods and ignore prediction uncertainty; and (3) severe ethical vulnerabilities, including the inclusion of protected demographic attributes and the absence of counterfactual exploration.</w:t>
      </w:r>
    </w:p>
    <w:tbl>
      <w:tblPr>
        <w:tblW w:w="0" w:type="auto"/>
        <w:tblBorders>
          <w:left w:val="single" w:sz="24" w:space="0" w:color="1E3A8A"/>
        </w:tblBorders>
        <w:shd w:val="clear" w:color="auto" w:fill="F6F4F3"/>
        <w:tblLayout w:type="fixed"/>
        <w:tblLook w:val="0000" w:firstRow="0" w:lastRow="0" w:firstColumn="0" w:lastColumn="0" w:noHBand="0" w:noVBand="0"/>
      </w:tblPr>
      <w:tblGrid>
        <w:gridCol w:w="10067"/>
      </w:tblGrid>
      <w:tr w:rsidR="00FF56D3" w14:paraId="6F356243" w14:textId="77777777" w:rsidTr="00FF56D3">
        <w:tblPrEx>
          <w:tblCellMar>
            <w:top w:w="0" w:type="dxa"/>
            <w:bottom w:w="0" w:type="dxa"/>
          </w:tblCellMar>
        </w:tblPrEx>
        <w:tc>
          <w:tcPr>
            <w:tcW w:w="10067" w:type="dxa"/>
            <w:shd w:val="clear" w:color="auto" w:fill="F6F4F3"/>
            <w:tcMar>
              <w:top w:w="60" w:type="dxa"/>
              <w:left w:w="140" w:type="dxa"/>
              <w:bottom w:w="60" w:type="dxa"/>
              <w:right w:w="140" w:type="dxa"/>
            </w:tcMar>
          </w:tcPr>
          <w:p w14:paraId="48A14DE0" w14:textId="369F15E7" w:rsidR="00FF56D3" w:rsidRPr="00FF56D3" w:rsidRDefault="00FF56D3" w:rsidP="00FF56D3">
            <w:pPr>
              <w:keepNext/>
              <w:spacing w:after="0" w:line="230" w:lineRule="auto"/>
              <w:jc w:val="both"/>
              <w:rPr>
                <w:rFonts w:ascii="Calibri" w:hAnsi="Calibri" w:cs="Calibri"/>
                <w:color w:val="1F2937"/>
                <w:sz w:val="17"/>
              </w:rPr>
            </w:pPr>
            <w:r w:rsidRPr="00FF56D3">
              <w:rPr>
                <w:rFonts w:ascii="Calibri" w:hAnsi="Calibri" w:cs="Calibri"/>
                <w:color w:val="1F2937"/>
                <w:sz w:val="17"/>
              </w:rPr>
              <w:t>Core Architectural Philosophy - Advice, Not Verdict: The Campus Placement Predictor is deliberately designed as an empowering self-assessment and strategic planning instrument for students and mentors, explicitly rejecting any role as an automated screening, ranking, or shortlisting gatekeeper. Its mission is to illuminate actionable, modifiable behaviors that directly elevate student employability while strictly mitigating algorithmic fatalism.</w:t>
            </w:r>
          </w:p>
        </w:tc>
      </w:tr>
    </w:tbl>
    <w:p w14:paraId="513A4DCE" w14:textId="44C7A649"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3. Industry Evaluation Criteria and Multi-Modal Feature Taxonomy</w:t>
      </w:r>
    </w:p>
    <w:p w14:paraId="747917D9" w14:textId="3A3EDAD0"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To ensure rigorous alignment with real-world corporate recruitment, this system formalizes an end-to-end mapping between the 12 corporate placement dimensions and an engineered feature set comprising 20 continuous numerical indicators, 1 categorical contextual field, and modernized digital footprints:</w:t>
      </w:r>
    </w:p>
    <w:tbl>
      <w:tblPr>
        <w:tblW w:w="0" w:type="auto"/>
        <w:tblBorders>
          <w:top w:val="single" w:sz="4" w:space="0" w:color="1E3A8A"/>
          <w:left w:val="single" w:sz="4" w:space="0" w:color="1E3A8A"/>
          <w:bottom w:val="single" w:sz="4" w:space="0" w:color="1E3A8A"/>
          <w:right w:val="single" w:sz="4" w:space="0" w:color="1E3A8A"/>
          <w:insideH w:val="single" w:sz="4" w:space="0" w:color="DBD5D1"/>
          <w:insideV w:val="single" w:sz="4" w:space="0" w:color="DBD5D1"/>
        </w:tblBorders>
        <w:tblLayout w:type="fixed"/>
        <w:tblLook w:val="0000" w:firstRow="0" w:lastRow="0" w:firstColumn="0" w:lastColumn="0" w:noHBand="0" w:noVBand="0"/>
      </w:tblPr>
      <w:tblGrid>
        <w:gridCol w:w="2516"/>
        <w:gridCol w:w="2517"/>
        <w:gridCol w:w="2517"/>
        <w:gridCol w:w="2517"/>
      </w:tblGrid>
      <w:tr w:rsidR="00FF56D3" w:rsidRPr="00FF56D3" w14:paraId="74FB40A4" w14:textId="77777777" w:rsidTr="00FF56D3">
        <w:tblPrEx>
          <w:tblCellMar>
            <w:top w:w="0" w:type="dxa"/>
            <w:bottom w:w="0" w:type="dxa"/>
          </w:tblCellMar>
        </w:tblPrEx>
        <w:trPr>
          <w:tblHeader/>
        </w:trPr>
        <w:tc>
          <w:tcPr>
            <w:tcW w:w="2516" w:type="dxa"/>
            <w:tcBorders>
              <w:top w:val="single" w:sz="4" w:space="0" w:color="1E3A8A"/>
              <w:bottom w:val="single" w:sz="4" w:space="0" w:color="DBD5D1"/>
            </w:tcBorders>
            <w:shd w:val="clear" w:color="auto" w:fill="1E3A8A"/>
          </w:tcPr>
          <w:p w14:paraId="3008DE95" w14:textId="32C96055"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Corporate Hiring Dimension</w:t>
            </w:r>
          </w:p>
        </w:tc>
        <w:tc>
          <w:tcPr>
            <w:tcW w:w="2517" w:type="dxa"/>
            <w:tcBorders>
              <w:top w:val="single" w:sz="4" w:space="0" w:color="1E3A8A"/>
              <w:bottom w:val="single" w:sz="4" w:space="0" w:color="DBD5D1"/>
            </w:tcBorders>
            <w:shd w:val="clear" w:color="auto" w:fill="1E3A8A"/>
          </w:tcPr>
          <w:p w14:paraId="5F4FCE7F" w14:textId="72817E5C"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Model Feature Representation</w:t>
            </w:r>
          </w:p>
        </w:tc>
        <w:tc>
          <w:tcPr>
            <w:tcW w:w="2517" w:type="dxa"/>
            <w:tcBorders>
              <w:top w:val="single" w:sz="4" w:space="0" w:color="1E3A8A"/>
              <w:bottom w:val="single" w:sz="4" w:space="0" w:color="DBD5D1"/>
            </w:tcBorders>
            <w:shd w:val="clear" w:color="auto" w:fill="1E3A8A"/>
          </w:tcPr>
          <w:p w14:paraId="13B1CC36" w14:textId="6CD98C53"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Actionability</w:t>
            </w:r>
          </w:p>
        </w:tc>
        <w:tc>
          <w:tcPr>
            <w:tcW w:w="2517" w:type="dxa"/>
            <w:tcBorders>
              <w:top w:val="single" w:sz="4" w:space="0" w:color="1E3A8A"/>
              <w:bottom w:val="single" w:sz="4" w:space="0" w:color="DBD5D1"/>
            </w:tcBorders>
            <w:shd w:val="clear" w:color="auto" w:fill="1E3A8A"/>
          </w:tcPr>
          <w:p w14:paraId="26F3E093" w14:textId="70E9448F"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Monotonic &amp; Governance Rule</w:t>
            </w:r>
          </w:p>
        </w:tc>
      </w:tr>
      <w:tr w:rsidR="00FF56D3" w:rsidRPr="00FF56D3" w14:paraId="076B6CA3" w14:textId="77777777" w:rsidTr="00FF56D3">
        <w:tblPrEx>
          <w:tblCellMar>
            <w:top w:w="0" w:type="dxa"/>
            <w:bottom w:w="0" w:type="dxa"/>
          </w:tblCellMar>
        </w:tblPrEx>
        <w:tc>
          <w:tcPr>
            <w:tcW w:w="2516" w:type="dxa"/>
            <w:tcBorders>
              <w:top w:val="single" w:sz="4" w:space="0" w:color="DBD5D1"/>
            </w:tcBorders>
          </w:tcPr>
          <w:p w14:paraId="65EBBA3A" w14:textId="3FF81E41"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1. Academic Performance</w:t>
            </w:r>
          </w:p>
        </w:tc>
        <w:tc>
          <w:tcPr>
            <w:tcW w:w="2517" w:type="dxa"/>
            <w:tcBorders>
              <w:top w:val="single" w:sz="4" w:space="0" w:color="DBD5D1"/>
            </w:tcBorders>
          </w:tcPr>
          <w:p w14:paraId="1F543D95" w14:textId="2CAD8AA4"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CGPA, 10th %, 12th %, Active Backlogs, History</w:t>
            </w:r>
          </w:p>
        </w:tc>
        <w:tc>
          <w:tcPr>
            <w:tcW w:w="2517" w:type="dxa"/>
            <w:tcBorders>
              <w:top w:val="single" w:sz="4" w:space="0" w:color="DBD5D1"/>
            </w:tcBorders>
          </w:tcPr>
          <w:p w14:paraId="7DCB2FED" w14:textId="18AC860E"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Fixed Historical / Active Backlogs</w:t>
            </w:r>
          </w:p>
        </w:tc>
        <w:tc>
          <w:tcPr>
            <w:tcW w:w="2517" w:type="dxa"/>
            <w:tcBorders>
              <w:top w:val="single" w:sz="4" w:space="0" w:color="DBD5D1"/>
            </w:tcBorders>
          </w:tcPr>
          <w:p w14:paraId="76FA9D24" w14:textId="2D9F7DB6"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Active Backlogs strictly Monotonic Negative</w:t>
            </w:r>
          </w:p>
        </w:tc>
      </w:tr>
      <w:tr w:rsidR="00FF56D3" w:rsidRPr="00FF56D3" w14:paraId="2B950517" w14:textId="77777777" w:rsidTr="00FF56D3">
        <w:tblPrEx>
          <w:tblCellMar>
            <w:top w:w="0" w:type="dxa"/>
            <w:bottom w:w="0" w:type="dxa"/>
          </w:tblCellMar>
        </w:tblPrEx>
        <w:tc>
          <w:tcPr>
            <w:tcW w:w="2516" w:type="dxa"/>
          </w:tcPr>
          <w:p w14:paraId="3F3354C0" w14:textId="5AA6728D"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2. Coding &amp; Technical Depth</w:t>
            </w:r>
          </w:p>
        </w:tc>
        <w:tc>
          <w:tcPr>
            <w:tcW w:w="2517" w:type="dxa"/>
          </w:tcPr>
          <w:p w14:paraId="2F4711AF" w14:textId="3E857758"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Coding Problems Solved, Contest Rating, Projects</w:t>
            </w:r>
          </w:p>
        </w:tc>
        <w:tc>
          <w:tcPr>
            <w:tcW w:w="2517" w:type="dxa"/>
          </w:tcPr>
          <w:p w14:paraId="547E286F" w14:textId="214048EE"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Highly Actionable</w:t>
            </w:r>
          </w:p>
        </w:tc>
        <w:tc>
          <w:tcPr>
            <w:tcW w:w="2517" w:type="dxa"/>
          </w:tcPr>
          <w:p w14:paraId="06E21D91" w14:textId="3A3AA3C2"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Monotonic Positive; proxies practical acumen</w:t>
            </w:r>
          </w:p>
        </w:tc>
      </w:tr>
      <w:tr w:rsidR="00FF56D3" w:rsidRPr="00FF56D3" w14:paraId="199404C9" w14:textId="77777777" w:rsidTr="00FF56D3">
        <w:tblPrEx>
          <w:tblCellMar>
            <w:top w:w="0" w:type="dxa"/>
            <w:bottom w:w="0" w:type="dxa"/>
          </w:tblCellMar>
        </w:tblPrEx>
        <w:tc>
          <w:tcPr>
            <w:tcW w:w="2516" w:type="dxa"/>
          </w:tcPr>
          <w:p w14:paraId="0EF10CCA" w14:textId="76A92662"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3. Practical &amp; Social Footprint</w:t>
            </w:r>
          </w:p>
        </w:tc>
        <w:tc>
          <w:tcPr>
            <w:tcW w:w="2517" w:type="dxa"/>
          </w:tcPr>
          <w:p w14:paraId="50845528" w14:textId="523286CB"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Internship Months, GitHub Repos/Stars, LinkedIn</w:t>
            </w:r>
          </w:p>
        </w:tc>
        <w:tc>
          <w:tcPr>
            <w:tcW w:w="2517" w:type="dxa"/>
          </w:tcPr>
          <w:p w14:paraId="7FC3CD13" w14:textId="776A0A0F"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Actionable (Continuous)</w:t>
            </w:r>
          </w:p>
        </w:tc>
        <w:tc>
          <w:tcPr>
            <w:tcW w:w="2517" w:type="dxa"/>
          </w:tcPr>
          <w:p w14:paraId="159F412C" w14:textId="3A10EC5E"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Quantifies modern verifiable developer activity</w:t>
            </w:r>
          </w:p>
        </w:tc>
      </w:tr>
      <w:tr w:rsidR="00FF56D3" w:rsidRPr="00FF56D3" w14:paraId="07339CE3" w14:textId="77777777" w:rsidTr="00FF56D3">
        <w:tblPrEx>
          <w:tblCellMar>
            <w:top w:w="0" w:type="dxa"/>
            <w:bottom w:w="0" w:type="dxa"/>
          </w:tblCellMar>
        </w:tblPrEx>
        <w:tc>
          <w:tcPr>
            <w:tcW w:w="2516" w:type="dxa"/>
          </w:tcPr>
          <w:p w14:paraId="5E8857A7" w14:textId="3648A2FF"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4. Aptitude &amp; Communication</w:t>
            </w:r>
          </w:p>
        </w:tc>
        <w:tc>
          <w:tcPr>
            <w:tcW w:w="2517" w:type="dxa"/>
          </w:tcPr>
          <w:p w14:paraId="2F978A32" w14:textId="1BA1EA1B"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Mock Aptitude Score %, Soft Skill Rating (1-5)</w:t>
            </w:r>
          </w:p>
        </w:tc>
        <w:tc>
          <w:tcPr>
            <w:tcW w:w="2517" w:type="dxa"/>
          </w:tcPr>
          <w:p w14:paraId="639D628C" w14:textId="2D9EBCA4"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Actionable</w:t>
            </w:r>
          </w:p>
        </w:tc>
        <w:tc>
          <w:tcPr>
            <w:tcW w:w="2517" w:type="dxa"/>
          </w:tcPr>
          <w:p w14:paraId="27DA9284" w14:textId="3DB7A736"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First-round elimination proxy; training cell score</w:t>
            </w:r>
          </w:p>
        </w:tc>
      </w:tr>
      <w:tr w:rsidR="00FF56D3" w:rsidRPr="00FF56D3" w14:paraId="01D71190" w14:textId="77777777" w:rsidTr="00FF56D3">
        <w:tblPrEx>
          <w:tblCellMar>
            <w:top w:w="0" w:type="dxa"/>
            <w:bottom w:w="0" w:type="dxa"/>
          </w:tblCellMar>
        </w:tblPrEx>
        <w:tc>
          <w:tcPr>
            <w:tcW w:w="2516" w:type="dxa"/>
          </w:tcPr>
          <w:p w14:paraId="62165627" w14:textId="49968EF8"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5. Qualitative Traits (Attitude, Fit)</w:t>
            </w:r>
          </w:p>
        </w:tc>
        <w:tc>
          <w:tcPr>
            <w:tcW w:w="2517" w:type="dxa"/>
          </w:tcPr>
          <w:p w14:paraId="0DF3FE06" w14:textId="2FF79D75"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EXCLUDED FROM ML PIPELINE SCOPE</w:t>
            </w:r>
          </w:p>
        </w:tc>
        <w:tc>
          <w:tcPr>
            <w:tcW w:w="2517" w:type="dxa"/>
          </w:tcPr>
          <w:p w14:paraId="6464D636" w14:textId="4960516B"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Unmeasurable</w:t>
            </w:r>
          </w:p>
        </w:tc>
        <w:tc>
          <w:tcPr>
            <w:tcW w:w="2517" w:type="dxa"/>
          </w:tcPr>
          <w:p w14:paraId="0B7AD200" w14:textId="0F204D64"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Mandatory UI disclosure: Requires live interview</w:t>
            </w:r>
          </w:p>
        </w:tc>
      </w:tr>
    </w:tbl>
    <w:p w14:paraId="0E0D87D9" w14:textId="7A49F0B7" w:rsidR="00FF56D3" w:rsidRDefault="00FF56D3" w:rsidP="00FF56D3">
      <w:pPr>
        <w:keepNext/>
        <w:spacing w:after="20" w:line="230" w:lineRule="auto"/>
        <w:jc w:val="both"/>
      </w:pPr>
    </w:p>
    <w:p w14:paraId="01A4A23B" w14:textId="77777777" w:rsidR="00FF56D3" w:rsidRDefault="00FF56D3">
      <w:r>
        <w:br w:type="page"/>
      </w:r>
    </w:p>
    <w:p w14:paraId="59AF410E" w14:textId="335FA76B"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lastRenderedPageBreak/>
        <w:t>4. Technical System Architecture and Dual-Engine Innovation</w:t>
      </w:r>
    </w:p>
    <w:p w14:paraId="1001F057" w14:textId="356E0429"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The system introduces an innovative Dual-Execution Machine Learning Engine that harmonizes institutional-grade predictive reliability with instantaneous client-side accessibility across two operational tiers:</w:t>
      </w:r>
    </w:p>
    <w:p w14:paraId="18196D7F" w14:textId="31106ED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Tier 1: Scalable FastAPI REST API Server (Python) - Hosts the complete scikit-learn machine learning pipeline. The core estimator employs L2-regularized Logistic Regression coupled with 5-fold Platt Sigmoid Scaling (CalibratedClassifierCV) to yield true empirical probabilities. To reflect uncertainty honestly, each score is accompanied by an 80% bootstrap confidence interval derived from 200 resamples and mapped into intuitive likelihood tiers (Lower, Moderate, Higher Likelihood).</w:t>
      </w:r>
    </w:p>
    <w:p w14:paraId="10038D58" w14:textId="3272D80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Tier 2: Zero-Dependency Client-Side Engine (Vanilla JavaScript) - An embedded mathematical inference engine embedded directly within the client single-page application (SPA). Replicating identical logit weights, standardization means, and stream-specific intercepts, it allows full offline functionality and real-time inference without requiring a live Python daemon.</w:t>
      </w:r>
    </w:p>
    <w:p w14:paraId="538EB1EF" w14:textId="383EC100"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Additive Local Explainability and What-If Simulation - Every prediction calculates exact signed logit contributions, translating abstract mathematical weights into plain-language bullet points highlighting the top positive and negative factors governing the outcome. The embedded What-If Simulator allows students to dynamically manipulate actionable parameters (e.g., resolving active backlogs, solving 50 additional coding problems) to visualize immediate counterfactual deltas in probability.</w:t>
      </w:r>
    </w:p>
    <w:p w14:paraId="5ED10F75" w14:textId="154ADE56"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5. Responsible AI Framework, Fairness Auditing and Ethical Governance</w:t>
      </w:r>
    </w:p>
    <w:p w14:paraId="50AAB7B1" w14:textId="4055DE23"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In strict adherence to Responsible AI and algorithmic fairness standards, the project institutes comprehensive architectural guardrails:</w:t>
      </w:r>
    </w:p>
    <w:p w14:paraId="113959DA" w14:textId="7B3794C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1. Demographic Attribute Exclusion: Sensitive demographic attributes including gender, caste, religion, socio-economic markers, and institutional identifiers are strictly excluded from the training and inference pipeline, eliminating disparate treatment by design.</w:t>
      </w:r>
    </w:p>
    <w:p w14:paraId="6EEFEDA4" w14:textId="1B92BFA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2. Post-Hoc Demographic Fairness Audits: To prevent proxy discrimination, automated release gates audit model performance across demographic subgroups during each training cycle. Release criteria mandate that True Positive Rate (TPR) and False Positive Rate (FPR) parity gaps must remain strictly within |Delta TPR| &lt;= 0.10.</w:t>
      </w:r>
    </w:p>
    <w:p w14:paraId="740138A9" w14:textId="6DE7B2B6"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3. Statistical Calibration Gates: The pipeline enforces Expected Calibration Error (ECE) &lt;= 0.08 and cross-validated ROC-AUC &gt;= 0.75, ensuring predictions represent reliable, empirically validated likelihoods rather than distorted extremes.</w:t>
      </w:r>
    </w:p>
    <w:p w14:paraId="12B3CBD5" w14:textId="7CC9163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4. Data Minimization and Privacy by Design: Student profiles are processed ephemerally in-memory and are never persisted by default. Full GDPR-style compliance is enforced via an explicit user consent protocol and a dedicated DELETE /v1/data endpoint for instant record purging.</w:t>
      </w:r>
    </w:p>
    <w:p w14:paraId="3FDB84BD" w14:textId="63800D17"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6. Mini Project Implementation Scope, User Experience and Deliverables</w:t>
      </w:r>
    </w:p>
    <w:p w14:paraId="044872A2" w14:textId="5A3FCCBD"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The deliverables of this mini project encompass a production-ready, dark glassmorphism web platform structured into five functional modules: (1) Student Assessment Portal with interactive probability gauge and factor explanations; (2) Actionable What-If Counterfactual Simulator; (3) Cohort and Departmental Analytics Dashboard; (4) Formal Model Card detailing validation metrics, intended use, and limitations; and (5) Audit and Admin Console with live fairness logs and data wipe utilities.</w:t>
      </w:r>
    </w:p>
    <w:p w14:paraId="6E1712BE" w14:textId="063700AF"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7. Organization of the Project Report</w:t>
      </w:r>
    </w:p>
    <w:p w14:paraId="6BB9FCB4" w14:textId="4074FFC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The remainder of this report is organized as follows: Chapter 2 reviews the literature on educational data mining, corporate evaluation criteria, and explainable AI; Chapter 3 details the system architecture, mathematical formulation, and calibration pipeline; Chapter 4 elaborates on the empirical implementation, synthetic data generation, and UI engineering; Chapter 5 presents the experimental validation, release gate verification, and fairness audit results; and Chapter 6 concludes with actionable recommendations and future research vectors.</w:t>
      </w:r>
    </w:p>
    <w:p w14:paraId="325B65D5" w14:textId="77777777" w:rsidR="00FF56D3" w:rsidRDefault="00FF56D3" w:rsidP="00FF56D3">
      <w:pPr>
        <w:keepNext/>
        <w:spacing w:after="60" w:line="230" w:lineRule="auto"/>
        <w:jc w:val="both"/>
      </w:pPr>
    </w:p>
    <w:sectPr w:rsidR="00FF56D3" w:rsidSect="00FF56D3">
      <w:headerReference w:type="even" r:id="rId6"/>
      <w:headerReference w:type="default" r:id="rId7"/>
      <w:footerReference w:type="even" r:id="rId8"/>
      <w:footerReference w:type="default" r:id="rId9"/>
      <w:headerReference w:type="first" r:id="rId10"/>
      <w:footerReference w:type="first" r:id="rId11"/>
      <w:pgSz w:w="11907" w:h="16839"/>
      <w:pgMar w:top="760" w:right="920" w:bottom="7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B95E" w14:textId="77777777" w:rsidR="00894988" w:rsidRDefault="00894988" w:rsidP="00FF56D3">
      <w:pPr>
        <w:spacing w:after="0" w:line="240" w:lineRule="auto"/>
      </w:pPr>
      <w:r>
        <w:separator/>
      </w:r>
    </w:p>
  </w:endnote>
  <w:endnote w:type="continuationSeparator" w:id="0">
    <w:p w14:paraId="6FCEBDD3" w14:textId="77777777" w:rsidR="00894988" w:rsidRDefault="00894988" w:rsidP="00FF5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A81C" w14:textId="77777777" w:rsidR="00FF56D3" w:rsidRDefault="00FF56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D6CA" w14:textId="0F3DD463" w:rsidR="00FF56D3" w:rsidRPr="00FF56D3" w:rsidRDefault="00FF56D3">
    <w:pPr>
      <w:pStyle w:val="Footer"/>
      <w:rPr>
        <w:rFonts w:ascii="Calibri" w:hAnsi="Calibri"/>
        <w:color w:val="80726B"/>
        <w:sz w:val="17"/>
      </w:rPr>
    </w:pPr>
    <w:r w:rsidRPr="00FF56D3">
      <w:rPr>
        <w:rFonts w:ascii="Calibri" w:hAnsi="Calibri"/>
        <w:color w:val="80726B"/>
        <w:sz w:val="17"/>
      </w:rPr>
      <w:t xml:space="preserve">Chapter 1: Introduction  |  Dual-Execution Architecture &amp; Responsible AI Framework  |  Page </w:t>
    </w:r>
    <w:r>
      <w:rPr>
        <w:rFonts w:ascii="Calibri" w:hAnsi="Calibri"/>
        <w:color w:val="80726B"/>
        <w:sz w:val="17"/>
      </w:rPr>
      <w:fldChar w:fldCharType="begin"/>
    </w:r>
    <w:r>
      <w:rPr>
        <w:rFonts w:ascii="Calibri" w:hAnsi="Calibri"/>
        <w:color w:val="80726B"/>
        <w:sz w:val="17"/>
      </w:rPr>
      <w:instrText xml:space="preserve"> PAGE  \* MERGEFORMAT </w:instrText>
    </w:r>
    <w:r>
      <w:rPr>
        <w:rFonts w:ascii="Calibri" w:hAnsi="Calibri"/>
        <w:color w:val="80726B"/>
        <w:sz w:val="17"/>
      </w:rPr>
      <w:fldChar w:fldCharType="separate"/>
    </w:r>
    <w:r>
      <w:rPr>
        <w:rFonts w:ascii="Calibri" w:hAnsi="Calibri"/>
        <w:noProof/>
        <w:color w:val="80726B"/>
        <w:sz w:val="17"/>
      </w:rPr>
      <w:t>1</w:t>
    </w:r>
    <w:r>
      <w:rPr>
        <w:rFonts w:ascii="Calibri" w:hAnsi="Calibri"/>
        <w:color w:val="80726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541C" w14:textId="77777777" w:rsidR="00FF56D3" w:rsidRDefault="00FF5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CD21" w14:textId="77777777" w:rsidR="00894988" w:rsidRDefault="00894988" w:rsidP="00FF56D3">
      <w:pPr>
        <w:spacing w:after="0" w:line="240" w:lineRule="auto"/>
      </w:pPr>
      <w:r>
        <w:separator/>
      </w:r>
    </w:p>
  </w:footnote>
  <w:footnote w:type="continuationSeparator" w:id="0">
    <w:p w14:paraId="205085B8" w14:textId="77777777" w:rsidR="00894988" w:rsidRDefault="00894988" w:rsidP="00FF5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B531" w14:textId="77777777" w:rsidR="00FF56D3" w:rsidRDefault="00FF56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BA3A" w14:textId="46A2946E" w:rsidR="00FF56D3" w:rsidRPr="00FF56D3" w:rsidRDefault="00FF56D3" w:rsidP="00FF56D3">
    <w:pPr>
      <w:pStyle w:val="Header"/>
      <w:jc w:val="right"/>
      <w:rPr>
        <w:rFonts w:ascii="Calibri" w:hAnsi="Calibri"/>
        <w:color w:val="80726B"/>
        <w:sz w:val="17"/>
      </w:rPr>
    </w:pPr>
    <w:r w:rsidRPr="00FF56D3">
      <w:rPr>
        <w:rFonts w:ascii="Calibri" w:hAnsi="Calibri"/>
        <w:color w:val="80726B"/>
        <w:sz w:val="17"/>
      </w:rPr>
      <w:t>CAMPUS PLACEMENT PREDICTOR  |  MACHINE LEARNING MINI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BC33" w14:textId="77777777" w:rsidR="00FF56D3" w:rsidRDefault="00FF56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D3"/>
    <w:rsid w:val="00894988"/>
    <w:rsid w:val="00AE49CF"/>
    <w:rsid w:val="00FF5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A5B6B"/>
  <w15:chartTrackingRefBased/>
  <w15:docId w15:val="{711A944E-8467-413E-A29B-54E55E6F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6D3"/>
    <w:rPr>
      <w:rFonts w:eastAsiaTheme="majorEastAsia" w:cstheme="majorBidi"/>
      <w:color w:val="272727" w:themeColor="text1" w:themeTint="D8"/>
    </w:rPr>
  </w:style>
  <w:style w:type="paragraph" w:styleId="Title">
    <w:name w:val="Title"/>
    <w:basedOn w:val="Normal"/>
    <w:next w:val="Normal"/>
    <w:link w:val="TitleChar"/>
    <w:uiPriority w:val="10"/>
    <w:qFormat/>
    <w:rsid w:val="00FF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6D3"/>
    <w:pPr>
      <w:spacing w:before="160"/>
      <w:jc w:val="center"/>
    </w:pPr>
    <w:rPr>
      <w:i/>
      <w:iCs/>
      <w:color w:val="404040" w:themeColor="text1" w:themeTint="BF"/>
    </w:rPr>
  </w:style>
  <w:style w:type="character" w:customStyle="1" w:styleId="QuoteChar">
    <w:name w:val="Quote Char"/>
    <w:basedOn w:val="DefaultParagraphFont"/>
    <w:link w:val="Quote"/>
    <w:uiPriority w:val="29"/>
    <w:rsid w:val="00FF56D3"/>
    <w:rPr>
      <w:i/>
      <w:iCs/>
      <w:color w:val="404040" w:themeColor="text1" w:themeTint="BF"/>
    </w:rPr>
  </w:style>
  <w:style w:type="paragraph" w:styleId="ListParagraph">
    <w:name w:val="List Paragraph"/>
    <w:basedOn w:val="Normal"/>
    <w:uiPriority w:val="34"/>
    <w:qFormat/>
    <w:rsid w:val="00FF56D3"/>
    <w:pPr>
      <w:ind w:left="720"/>
      <w:contextualSpacing/>
    </w:pPr>
  </w:style>
  <w:style w:type="character" w:styleId="IntenseEmphasis">
    <w:name w:val="Intense Emphasis"/>
    <w:basedOn w:val="DefaultParagraphFont"/>
    <w:uiPriority w:val="21"/>
    <w:qFormat/>
    <w:rsid w:val="00FF56D3"/>
    <w:rPr>
      <w:i/>
      <w:iCs/>
      <w:color w:val="0F4761" w:themeColor="accent1" w:themeShade="BF"/>
    </w:rPr>
  </w:style>
  <w:style w:type="paragraph" w:styleId="IntenseQuote">
    <w:name w:val="Intense Quote"/>
    <w:basedOn w:val="Normal"/>
    <w:next w:val="Normal"/>
    <w:link w:val="IntenseQuoteChar"/>
    <w:uiPriority w:val="30"/>
    <w:qFormat/>
    <w:rsid w:val="00FF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6D3"/>
    <w:rPr>
      <w:i/>
      <w:iCs/>
      <w:color w:val="0F4761" w:themeColor="accent1" w:themeShade="BF"/>
    </w:rPr>
  </w:style>
  <w:style w:type="character" w:styleId="IntenseReference">
    <w:name w:val="Intense Reference"/>
    <w:basedOn w:val="DefaultParagraphFont"/>
    <w:uiPriority w:val="32"/>
    <w:qFormat/>
    <w:rsid w:val="00FF56D3"/>
    <w:rPr>
      <w:b/>
      <w:bCs/>
      <w:smallCaps/>
      <w:color w:val="0F4761" w:themeColor="accent1" w:themeShade="BF"/>
      <w:spacing w:val="5"/>
    </w:rPr>
  </w:style>
  <w:style w:type="paragraph" w:styleId="Header">
    <w:name w:val="header"/>
    <w:basedOn w:val="Normal"/>
    <w:link w:val="HeaderChar"/>
    <w:uiPriority w:val="99"/>
    <w:unhideWhenUsed/>
    <w:rsid w:val="00FF5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6D3"/>
  </w:style>
  <w:style w:type="paragraph" w:styleId="Footer">
    <w:name w:val="footer"/>
    <w:basedOn w:val="Normal"/>
    <w:link w:val="FooterChar"/>
    <w:uiPriority w:val="99"/>
    <w:unhideWhenUsed/>
    <w:rsid w:val="00FF5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1003</Words>
  <Characters>7085</Characters>
  <Application>Microsoft Office Word</Application>
  <DocSecurity>0</DocSecurity>
  <Lines>102</Lines>
  <Paragraphs>50</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Zinat Khan</dc:creator>
  <cp:keywords/>
  <dc:description/>
  <cp:lastModifiedBy>Zinat Khan</cp:lastModifiedBy>
  <cp:revision>2</cp:revision>
  <dcterms:created xsi:type="dcterms:W3CDTF">2026-09-23T14:23:00Z</dcterms:created>
  <dcterms:modified xsi:type="dcterms:W3CDTF">2026-09-23T14:23:00Z</dcterms:modified>
</cp:coreProperties>
</file>