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00"/>
        <w:jc w:val="center"/>
      </w:pPr>
      <w:r>
        <w:rPr>
          <w:rFonts w:ascii="Arial" w:cs="Arial" w:eastAsia="Arial" w:hAnsi="Arial"/>
          <w:b/>
          <w:bCs/>
          <w:color w:val="1D3557"/>
          <w:sz w:val="48"/>
          <w:szCs w:val="48"/>
        </w:rPr>
        <w:t xml:space="preserve">JOURNAL DE DÉVELOPPEMENT</w:t>
      </w:r>
    </w:p>
    <w:p>
      <w:pPr>
        <w:spacing w:after="400"/>
        <w:jc w:val="center"/>
      </w:pPr>
      <w:r>
        <w:rPr>
          <w:rFonts w:ascii="Arial" w:cs="Arial" w:eastAsia="Arial" w:hAnsi="Arial"/>
          <w:color w:val="2E74B5"/>
          <w:sz w:val="36"/>
          <w:szCs w:val="36"/>
        </w:rPr>
        <w:t xml:space="preserve">Projet MyBank</w:t>
      </w:r>
    </w:p>
    <w:p>
      <w:pPr>
        <w:pBdr>
          <w:top w:val="single" w:color="2E74B5" w:sz="4"/>
          <w:bottom w:val="single" w:color="2E74B5" w:sz="4"/>
        </w:pBdr>
        <w:spacing w:after="200" w:before="200"/>
        <w:jc w:val="center"/>
      </w:pPr>
      <w:r>
        <w:rPr>
          <w:rFonts w:ascii="Arial" w:cs="Arial" w:eastAsia="Arial" w:hAnsi="Arial"/>
          <w:i/>
          <w:iCs/>
          <w:color w:val="457B9D"/>
          <w:sz w:val="26"/>
          <w:szCs w:val="26"/>
        </w:rPr>
        <w:t xml:space="preserve">Application de gestion de dépenses personnelles</w:t>
      </w:r>
    </w:p>
    <w:p>
      <w:r>
        <w:t xml:space="preserve"/>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Étudiant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Yacine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Formation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CDA 3ème année — L'École Multimédia</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Stack technique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18 + Vite · Symfony 7 / PHP 8.4 · MySQL · Docker · GitHub Actions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Dépôt GitHub</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github.com/Zino-99/MyBank</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Serveur de production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VPS Hetzner — 178.105.221.170</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Année scolaire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 – 2026</w:t>
            </w:r>
          </w:p>
        </w:tc>
      </w:tr>
    </w:tbl>
    <w:p>
      <w:r>
        <w:t xml:space="preserve"/>
      </w:r>
    </w:p>
    <w:p>
      <w:r>
        <w:br w:type="page"/>
      </w:r>
    </w:p>
    <w:p>
      <w:pPr>
        <w:pStyle w:val="Heading1"/>
      </w:pPr>
      <w:r>
        <w:t xml:space="preserve">1. Comptes rendus de développement</w:t>
      </w:r>
    </w:p>
    <w:p>
      <w:pPr>
        <w:spacing w:after="160"/>
      </w:pPr>
      <w:r>
        <w:t xml:space="preserve">Cette section consigne les principales difficultés rencontrées lors du développement de MyBank, ainsi que les solutions apportées.</w:t>
      </w:r>
    </w:p>
    <w:p>
      <w:r>
        <w:t xml:space="preserve"/>
      </w:r>
    </w:p>
    <w:p>
      <w:pPr>
        <w:pStyle w:val="Heading2"/>
      </w:pPr>
      <w:r>
        <w:t xml:space="preserve">1.1 Erreurs ESLint / React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c>
          <w:tcPr>
            <w:tcW w:type="dxa" w:w="2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rPr>
              <w:t xml:space="preserve">Problème</w:t>
            </w:r>
          </w:p>
        </w:tc>
        <w:tc>
          <w:tcPr>
            <w:tcW w:type="dxa" w:w="30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rPr>
              <w:t xml:space="preserve">Cause</w:t>
            </w:r>
          </w:p>
        </w:tc>
        <w:tc>
          <w:tcPr>
            <w:tcW w:type="dxa" w:w="3226"/>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rPr>
              <w:t xml:space="preserve">Solution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setState appelé directement dans useEffect (anti-pattern)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Dans OperationModal.jsx, un setState était déclenché à chaque rendu, provoquant une boucle infinie.</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Ajout d'un tableau de dépendances vide [] ou des dépendances exactes pour contrôler le moment d'exécution de l'effet.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Dépendance manquante dans useEffect (OperationList.jsx)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ESLint signalait une variable utilisée dans l'effet mais absente du tableau de dépendances.</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Ajout de la dépendance manquante dans le tableau, garantissant ainsi la cohérence des données affichées.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Compatibilité react-router-dom v7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Certaines API de v7 n'étaient pas compatibles avec le code existant (useNavigate hors contexte Router).</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Rétrogradation vers react-router-dom v6, version stable et compatible avec l'ensemble du projet.</w:t>
            </w:r>
          </w:p>
        </w:tc>
      </w:tr>
    </w:tbl>
    <w:p>
      <w:r>
        <w:t xml:space="preserve"/>
      </w:r>
    </w:p>
    <w:p>
      <w:pPr>
        <w:pStyle w:val="Heading2"/>
      </w:pPr>
      <w:r>
        <w:t xml:space="preserve">1.2 Erreurs PHPStan / Symfony</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c>
          <w:tcPr>
            <w:tcW w:type="dxa" w:w="2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rPr>
              <w:t xml:space="preserve">Problème</w:t>
            </w:r>
          </w:p>
        </w:tc>
        <w:tc>
          <w:tcPr>
            <w:tcW w:type="dxa" w:w="30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rPr>
              <w:t xml:space="preserve">Cause</w:t>
            </w:r>
          </w:p>
        </w:tc>
        <w:tc>
          <w:tcPr>
            <w:tcW w:type="dxa" w:w="3226"/>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rPr>
              <w:t xml:space="preserve">Solution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Type UserInterface|null au lieu de App\Entity\User|null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La méthode getUser() retourne UserInterface|null ; PHPStan niveau 5 rejetait l'accès direct aux méthodes de l'entité User.</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Ajout d'une vérification instanceof App\Entity\User avant tout accès aux méthodes de l'entité, satisfaisant ainsi l'analyse statique.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PHPStan niveau 5 bloquant le pipeline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Plusieurs annotations de retour incorrectes ou types non déclarés détectés lors de l'analyse.</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Correction des annotations PHPDoc et ajout des vérifications de type nécessaires dans OperationController.php.</w:t>
            </w:r>
          </w:p>
        </w:tc>
      </w:tr>
    </w:tbl>
    <w:p>
      <w:r>
        <w:t xml:space="preserve"/>
      </w:r>
    </w:p>
    <w:p>
      <w:pPr>
        <w:pStyle w:val="Heading2"/>
      </w:pPr>
      <w:r>
        <w:t xml:space="preserve">1.3 Problèmes Docker / Environnement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c>
          <w:tcPr>
            <w:tcW w:type="dxa" w:w="2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rPr>
              <w:t xml:space="preserve">Problème</w:t>
            </w:r>
          </w:p>
        </w:tc>
        <w:tc>
          <w:tcPr>
            <w:tcW w:type="dxa" w:w="30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rPr>
              <w:t xml:space="preserve">Cause</w:t>
            </w:r>
          </w:p>
        </w:tc>
        <w:tc>
          <w:tcPr>
            <w:tcW w:type="dxa" w:w="3226"/>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rPr>
              <w:t xml:space="preserve">Solution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APP_ENV incorrect dans les tests PHPUnit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Le conteneur Docker démarrait en mode dev ; PHPUnit utilisait donc la base de données de développement au lieu de mybank_test.</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Ajout de APP_ENV=test dans tests/bootstrap.php pour forcer l'environnement de test indépendamment de la configuration du conteneur.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Service MySQL pas encore prêt au démarrage du backend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Le backend Symfony démarrait avant que MySQL soit opérationnel, causant des erreurs de connexion.</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Ajout d'une condition service_healthy sur le service db dans docker-compose.yml avec un healthcheck mysqladmin ping.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Problème CORS / cookies de session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Le frontend (port 5173) ne transmettait pas les cookies de session à l'API Symfony (port 8000).</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Configuration de nelmio_cors.yaml avec allow_credentials: true et activation de withCredentials dans les appels fetch du frontend.</w:t>
            </w:r>
          </w:p>
        </w:tc>
      </w:tr>
    </w:tbl>
    <w:p>
      <w:r>
        <w:t xml:space="preserve"/>
      </w:r>
    </w:p>
    <w:p>
      <w:pPr>
        <w:pStyle w:val="Heading2"/>
      </w:pPr>
      <w:r>
        <w:t xml:space="preserve">1.4 Échecs pipeline CI/CD</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c>
          <w:tcPr>
            <w:tcW w:type="dxa" w:w="2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rPr>
              <w:t xml:space="preserve">Problème</w:t>
            </w:r>
          </w:p>
        </w:tc>
        <w:tc>
          <w:tcPr>
            <w:tcW w:type="dxa" w:w="30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rPr>
              <w:t xml:space="preserve">Cause</w:t>
            </w:r>
          </w:p>
        </w:tc>
        <w:tc>
          <w:tcPr>
            <w:tcW w:type="dxa" w:w="3226"/>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rPr>
              <w:t xml:space="preserve">Solution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Job backend-tests : base mybank_test inexistante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La commande doctrine:migrations:migrate échouait car la base de test n'était pas encore créée.</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Ajout d'une étape doctrine:database:create --if-not-exists avant les migrations dans le fichier .yml.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Cache npm invalide entre les runs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Les dépendances frontend n'étaient pas correctement mises en cache, rallongeant les builds.</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Ajout de cache-dependency-path: frontend/package-lock.json dans l'action setup-node pour un cache précis.</w:t>
            </w:r>
          </w:p>
        </w:tc>
      </w:tr>
    </w:tbl>
    <w:p>
      <w:r>
        <w:t xml:space="preserve"/>
      </w:r>
    </w:p>
    <w:p>
      <w:r>
        <w:br w:type="page"/>
      </w:r>
    </w:p>
    <w:p>
      <w:pPr>
        <w:pStyle w:val="Heading1"/>
      </w:pPr>
      <w:r>
        <w:t xml:space="preserve">2. Documentation CI/CD</w:t>
      </w:r>
    </w:p>
    <w:p>
      <w:pPr>
        <w:pStyle w:val="Heading2"/>
      </w:pPr>
      <w:r>
        <w:t xml:space="preserve">2.1 Installation de Docker</w:t>
      </w:r>
    </w:p>
    <w:p>
      <w:pPr>
        <w:spacing w:after="160"/>
      </w:pPr>
      <w:r>
        <w:t xml:space="preserve">Docker est un outil de conteneurisation qui permet d'exécuter chaque composant de l'application (frontend, backend, base de données) dans un environnement isolé et reproductible, que ce soit en local ou sur le serveur de production. Cela élimine les problèmes du type « ça marche sur ma machine ».</w:t>
      </w:r>
    </w:p>
    <w:p>
      <w:r>
        <w:t xml:space="preserve"/>
      </w:r>
    </w:p>
    <w:p>
      <w:pPr>
        <w:pStyle w:val="Heading3"/>
      </w:pPr>
      <w:r>
        <w:t xml:space="preserve">Pourquoi Docker dans MyBank ?</w:t>
      </w:r>
    </w:p>
    <w:p>
      <w:pPr>
        <w:pStyle w:val="ListParagraph"/>
        <w:numPr>
          <w:ilvl w:val="0"/>
          <w:numId w:val="2"/>
        </w:numPr>
        <w:spacing w:after="80"/>
      </w:pPr>
      <w:r>
        <w:t xml:space="preserve">Uniformité entre les environnements de développement et de production.</w:t>
      </w:r>
    </w:p>
    <w:p>
      <w:pPr>
        <w:pStyle w:val="ListParagraph"/>
        <w:numPr>
          <w:ilvl w:val="0"/>
          <w:numId w:val="2"/>
        </w:numPr>
        <w:spacing w:after="80"/>
      </w:pPr>
      <w:r>
        <w:t xml:space="preserve">Démarrage en une seule commande (docker compose up).</w:t>
      </w:r>
    </w:p>
    <w:p>
      <w:pPr>
        <w:pStyle w:val="ListParagraph"/>
        <w:numPr>
          <w:ilvl w:val="0"/>
          <w:numId w:val="2"/>
        </w:numPr>
        <w:spacing w:after="80"/>
      </w:pPr>
      <w:r>
        <w:t xml:space="preserve">Isolation de chaque service : frontend (Nginx), backend (PHP-FPM), base de données (MySQL 8.0), phpMyAdmin.</w:t>
      </w:r>
    </w:p>
    <w:p>
      <w:r>
        <w:t xml:space="preserve"/>
      </w:r>
    </w:p>
    <w:p>
      <w:pPr>
        <w:pStyle w:val="Heading3"/>
      </w:pPr>
      <w:r>
        <w:t xml:space="preserve">Installation — Windows</w:t>
      </w:r>
    </w:p>
    <w:p>
      <w:pPr>
        <w:pStyle w:val="ListParagraph"/>
        <w:numPr>
          <w:ilvl w:val="0"/>
          <w:numId w:val="2"/>
        </w:numPr>
        <w:spacing w:after="80"/>
      </w:pPr>
      <w:r>
        <w:t xml:space="preserve">Télécharger Docker Desktop depuis docker.com/products/docker-desktop.</w:t>
      </w:r>
    </w:p>
    <w:p>
      <w:pPr>
        <w:pStyle w:val="ListParagraph"/>
        <w:numPr>
          <w:ilvl w:val="0"/>
          <w:numId w:val="2"/>
        </w:numPr>
        <w:spacing w:after="80"/>
      </w:pPr>
      <w:r>
        <w:t xml:space="preserve">Lancer l'installeur et suivre les étapes (WSL 2 requis).</w:t>
      </w:r>
    </w:p>
    <w:p>
      <w:pPr>
        <w:pStyle w:val="ListParagraph"/>
        <w:numPr>
          <w:ilvl w:val="0"/>
          <w:numId w:val="2"/>
        </w:numPr>
        <w:spacing w:after="80"/>
      </w:pPr>
      <w:r>
        <w:t xml:space="preserve">Vérifier l'installation : docker --version et docker compose version.</w:t>
      </w:r>
    </w:p>
    <w:p>
      <w:r>
        <w:t xml:space="preserve"/>
      </w:r>
    </w:p>
    <w:p>
      <w:pPr>
        <w:pStyle w:val="Heading3"/>
      </w:pPr>
      <w:r>
        <w:t xml:space="preserve">Services définis dans docker-compose.yml</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c>
          <w:tcPr>
            <w:tcW w:type="dxa" w:w="2000"/>
            <w:tcBorders>
              <w:top w:val="single" w:color="2E74B5" w:sz="1"/>
              <w:left w:val="single" w:color="2E74B5" w:sz="1"/>
              <w:bottom w:val="single" w:color="2E74B5" w:sz="1"/>
              <w:right w:val="single" w:color="2E74B5" w:sz="1"/>
            </w:tcBorders>
            <w:shd w:fill="1D6A96" w:val="clear"/>
            <w:tcMar>
              <w:top w:type="dxa" w:w="80"/>
              <w:left w:type="dxa" w:w="120"/>
              <w:bottom w:type="dxa" w:w="80"/>
              <w:right w:type="dxa" w:w="120"/>
            </w:tcMar>
          </w:tcPr>
          <w:p>
            <w:r>
              <w:rPr>
                <w:b/>
                <w:bCs/>
                <w:color w:val="FFFFFF"/>
              </w:rPr>
              <w:t xml:space="preserve">Service</w:t>
            </w:r>
          </w:p>
        </w:tc>
        <w:tc>
          <w:tcPr>
            <w:tcW w:type="dxa" w:w="1800"/>
            <w:tcBorders>
              <w:top w:val="single" w:color="2E74B5" w:sz="1"/>
              <w:left w:val="single" w:color="2E74B5" w:sz="1"/>
              <w:bottom w:val="single" w:color="2E74B5" w:sz="1"/>
              <w:right w:val="single" w:color="2E74B5" w:sz="1"/>
            </w:tcBorders>
            <w:shd w:fill="1D6A96" w:val="clear"/>
            <w:tcMar>
              <w:top w:type="dxa" w:w="80"/>
              <w:left w:type="dxa" w:w="120"/>
              <w:bottom w:type="dxa" w:w="80"/>
              <w:right w:type="dxa" w:w="120"/>
            </w:tcMar>
          </w:tcPr>
          <w:p>
            <w:r>
              <w:rPr>
                <w:b/>
                <w:bCs/>
                <w:color w:val="FFFFFF"/>
              </w:rPr>
              <w:t xml:space="preserve">Port exposé</w:t>
            </w:r>
          </w:p>
        </w:tc>
        <w:tc>
          <w:tcPr>
            <w:tcW w:type="dxa" w:w="5226"/>
            <w:tcBorders>
              <w:top w:val="single" w:color="2E74B5" w:sz="1"/>
              <w:left w:val="single" w:color="2E74B5" w:sz="1"/>
              <w:bottom w:val="single" w:color="2E74B5" w:sz="1"/>
              <w:right w:val="single" w:color="2E74B5" w:sz="1"/>
            </w:tcBorders>
            <w:shd w:fill="1D6A96" w:val="clear"/>
            <w:tcMar>
              <w:top w:type="dxa" w:w="80"/>
              <w:left w:type="dxa" w:w="120"/>
              <w:bottom w:type="dxa" w:w="80"/>
              <w:right w:type="dxa" w:w="120"/>
            </w:tcMar>
          </w:tcPr>
          <w:p>
            <w:r>
              <w:rPr>
                <w:b/>
                <w:bCs/>
                <w:color w:val="FFFFFF"/>
              </w:rPr>
              <w:t xml:space="preserve">Rôle</w:t>
            </w:r>
          </w:p>
        </w:tc>
      </w:tr>
      <w:tr>
        <w:tc>
          <w:tcPr>
            <w:tcW w:type="dxa" w:w="20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pPr>
              <w:spacing w:after="0"/>
            </w:pPr>
            <w:r>
              <w:t xml:space="preserve">frontend</w:t>
            </w:r>
          </w:p>
        </w:tc>
        <w:tc>
          <w:tcPr>
            <w:tcW w:type="dxa" w:w="18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pPr>
              <w:spacing w:after="0"/>
            </w:pPr>
            <w:r>
              <w:t xml:space="preserve">3000:80</w:t>
            </w:r>
          </w:p>
        </w:tc>
        <w:tc>
          <w:tcPr>
            <w:tcW w:type="dxa" w:w="5226"/>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pPr>
              <w:spacing w:after="0"/>
            </w:pPr>
            <w:r>
              <w:t xml:space="preserve">Application React servie par Nginx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backend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8000:8000</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API Symfony / PHP 8.4</w:t>
            </w:r>
          </w:p>
        </w:tc>
      </w:tr>
      <w:tr>
        <w:tc>
          <w:tcPr>
            <w:tcW w:type="dxa" w:w="20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pPr>
              <w:spacing w:after="0"/>
            </w:pPr>
            <w:r>
              <w:t xml:space="preserve">db</w:t>
            </w:r>
          </w:p>
        </w:tc>
        <w:tc>
          <w:tcPr>
            <w:tcW w:type="dxa" w:w="18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pPr>
              <w:spacing w:after="0"/>
            </w:pPr>
            <w:r>
              <w:t xml:space="preserve">—</w:t>
            </w:r>
          </w:p>
        </w:tc>
        <w:tc>
          <w:tcPr>
            <w:tcW w:type="dxa" w:w="5226"/>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pPr>
              <w:spacing w:after="0"/>
            </w:pPr>
            <w:r>
              <w:t xml:space="preserve">MySQL 8.0 (données persistées dans un volume)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phpmyadmin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8080:80</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Interface graphique de gestion MySQL</w:t>
            </w:r>
          </w:p>
        </w:tc>
      </w:tr>
    </w:tbl>
    <w:p>
      <w:r>
        <w:t xml:space="preserve"/>
      </w:r>
    </w:p>
    <w:p>
      <w:pPr>
        <w:pStyle w:val="Heading2"/>
      </w:pPr>
      <w:r>
        <w:t xml:space="preserve">2.2 Pipeline CI/CD avec GitHub Actions</w:t>
      </w:r>
    </w:p>
    <w:p>
      <w:pPr>
        <w:spacing w:after="160"/>
      </w:pPr>
      <w:r>
        <w:t xml:space="preserve">Un pipeline CI/CD (Intégration Continue / Déploiement Continu) est un enchaînement automatique de vérifications et d'actions déclenché à chaque push ou pull request. Il garantit que le code intégré est propre, testé et déployable sans intervention manuelle.</w:t>
      </w:r>
    </w:p>
    <w:p>
      <w:r>
        <w:t xml:space="preserve"/>
      </w:r>
    </w:p>
    <w:p>
      <w:pPr>
        <w:spacing w:after="160"/>
      </w:pPr>
      <w:r>
        <w:t xml:space="preserve">Dans MyBank, le fichier .github/workflows/ci.yml définit trois jobs parallèles :</w:t>
      </w:r>
    </w:p>
    <w:p>
      <w:r>
        <w:t xml:space="preserve"/>
      </w:r>
    </w:p>
    <w:p>
      <w:pPr>
        <w:pStyle w:val="Heading3"/>
      </w:pPr>
      <w:r>
        <w:t xml:space="preserve">Job ci — Vérification du frontend</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2E74B5" w:sz="1"/>
              <w:left w:val="single" w:color="2E74B5" w:sz="1"/>
              <w:bottom w:val="single" w:color="2E74B5" w:sz="1"/>
              <w:right w:val="single" w:color="2E74B5" w:sz="1"/>
            </w:tcBorders>
            <w:shd w:fill="1D6A96" w:val="clear"/>
            <w:tcMar>
              <w:top w:type="dxa" w:w="80"/>
              <w:left w:type="dxa" w:w="120"/>
              <w:bottom w:type="dxa" w:w="80"/>
              <w:right w:type="dxa" w:w="120"/>
            </w:tcMar>
          </w:tcPr>
          <w:p>
            <w:r>
              <w:rPr>
                <w:b/>
                <w:bCs/>
                <w:color w:val="FFFFFF"/>
              </w:rPr>
              <w:t xml:space="preserve">Étape</w:t>
            </w:r>
          </w:p>
        </w:tc>
        <w:tc>
          <w:tcPr>
            <w:tcW w:type="dxa" w:w="2000"/>
            <w:tcBorders>
              <w:top w:val="single" w:color="2E74B5" w:sz="1"/>
              <w:left w:val="single" w:color="2E74B5" w:sz="1"/>
              <w:bottom w:val="single" w:color="2E74B5" w:sz="1"/>
              <w:right w:val="single" w:color="2E74B5" w:sz="1"/>
            </w:tcBorders>
            <w:shd w:fill="1D6A96" w:val="clear"/>
            <w:tcMar>
              <w:top w:type="dxa" w:w="80"/>
              <w:left w:type="dxa" w:w="120"/>
              <w:bottom w:type="dxa" w:w="80"/>
              <w:right w:type="dxa" w:w="120"/>
            </w:tcMar>
          </w:tcPr>
          <w:p>
            <w:r>
              <w:rPr>
                <w:b/>
                <w:bCs/>
                <w:color w:val="FFFFFF"/>
              </w:rPr>
              <w:t xml:space="preserve">Outil</w:t>
            </w:r>
          </w:p>
        </w:tc>
        <w:tc>
          <w:tcPr>
            <w:tcW w:type="dxa" w:w="5026"/>
            <w:tcBorders>
              <w:top w:val="single" w:color="2E74B5" w:sz="1"/>
              <w:left w:val="single" w:color="2E74B5" w:sz="1"/>
              <w:bottom w:val="single" w:color="2E74B5" w:sz="1"/>
              <w:right w:val="single" w:color="2E74B5" w:sz="1"/>
            </w:tcBorders>
            <w:shd w:fill="1D6A96" w:val="clear"/>
            <w:tcMar>
              <w:top w:type="dxa" w:w="80"/>
              <w:left w:type="dxa" w:w="120"/>
              <w:bottom w:type="dxa" w:w="80"/>
              <w:right w:type="dxa" w:w="120"/>
            </w:tcMar>
          </w:tcPr>
          <w:p>
            <w:r>
              <w:rPr>
                <w:b/>
                <w:bCs/>
                <w:color w:val="FFFFFF"/>
              </w:rPr>
              <w:t xml:space="preserve">Rôle</w:t>
            </w:r>
          </w:p>
        </w:tc>
      </w:tr>
      <w:tr>
        <w:tc>
          <w:tcPr>
            <w:tcW w:type="dxa" w:w="20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pPr>
              <w:spacing w:after="0"/>
            </w:pPr>
            <w:r>
              <w:t xml:space="preserve">Étape 1</w:t>
            </w:r>
          </w:p>
        </w:tc>
        <w:tc>
          <w:tcPr>
            <w:tcW w:type="dxa" w:w="20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pPr>
              <w:spacing w:after="0"/>
            </w:pPr>
            <w:r>
              <w:t xml:space="preserve">actions/checkout</w:t>
            </w:r>
          </w:p>
        </w:tc>
        <w:tc>
          <w:tcPr>
            <w:tcW w:type="dxa" w:w="5026"/>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pPr>
              <w:spacing w:after="0"/>
            </w:pPr>
            <w:r>
              <w:t xml:space="preserve">Récupère le code source depuis GitHub.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Étape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setup-node@v4</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Installe Node.js 20 avec mise en cache npm.</w:t>
            </w:r>
          </w:p>
        </w:tc>
      </w:tr>
      <w:tr>
        <w:tc>
          <w:tcPr>
            <w:tcW w:type="dxa" w:w="20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pPr>
              <w:spacing w:after="0"/>
            </w:pPr>
            <w:r>
              <w:t xml:space="preserve">Étape 3</w:t>
            </w:r>
          </w:p>
        </w:tc>
        <w:tc>
          <w:tcPr>
            <w:tcW w:type="dxa" w:w="20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pPr>
              <w:spacing w:after="0"/>
            </w:pPr>
            <w:r>
              <w:t xml:space="preserve">npm ci</w:t>
            </w:r>
          </w:p>
        </w:tc>
        <w:tc>
          <w:tcPr>
            <w:tcW w:type="dxa" w:w="5026"/>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pPr>
              <w:spacing w:after="0"/>
            </w:pPr>
            <w:r>
              <w:t xml:space="preserve">Installe les dépendances de manière déterministe.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Étape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npm run build</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Compile l'application React/Vite (détecte les erreurs de build).</w:t>
            </w:r>
          </w:p>
        </w:tc>
      </w:tr>
      <w:tr>
        <w:tc>
          <w:tcPr>
            <w:tcW w:type="dxa" w:w="20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pPr>
              <w:spacing w:after="0"/>
            </w:pPr>
            <w:r>
              <w:t xml:space="preserve">Étape 5</w:t>
            </w:r>
          </w:p>
        </w:tc>
        <w:tc>
          <w:tcPr>
            <w:tcW w:type="dxa" w:w="20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pPr>
              <w:spacing w:after="0"/>
            </w:pPr>
            <w:r>
              <w:t xml:space="preserve">npm run lint</w:t>
            </w:r>
          </w:p>
        </w:tc>
        <w:tc>
          <w:tcPr>
            <w:tcW w:type="dxa" w:w="5026"/>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pPr>
              <w:spacing w:after="0"/>
            </w:pPr>
            <w:r>
              <w:t xml:space="preserve">Exécute ESLint pour vérifier la qualité du 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Étape 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npm run test</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Lance les tests unitaires Vitest.</w:t>
            </w:r>
          </w:p>
        </w:tc>
      </w:tr>
    </w:tbl>
    <w:p>
      <w:r>
        <w:t xml:space="preserve"/>
      </w:r>
    </w:p>
    <w:p>
      <w:pPr>
        <w:pStyle w:val="Heading3"/>
      </w:pPr>
      <w:r>
        <w:t xml:space="preserve">Job backend-tests — Tests d'intégration backend</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2E74B5" w:sz="1"/>
              <w:left w:val="single" w:color="2E74B5" w:sz="1"/>
              <w:bottom w:val="single" w:color="2E74B5" w:sz="1"/>
              <w:right w:val="single" w:color="2E74B5" w:sz="1"/>
            </w:tcBorders>
            <w:shd w:fill="1D6A96" w:val="clear"/>
            <w:tcMar>
              <w:top w:type="dxa" w:w="80"/>
              <w:left w:type="dxa" w:w="120"/>
              <w:bottom w:type="dxa" w:w="80"/>
              <w:right w:type="dxa" w:w="120"/>
            </w:tcMar>
          </w:tcPr>
          <w:p>
            <w:r>
              <w:rPr>
                <w:b/>
                <w:bCs/>
                <w:color w:val="FFFFFF"/>
              </w:rPr>
              <w:t xml:space="preserve">Étape</w:t>
            </w:r>
          </w:p>
        </w:tc>
        <w:tc>
          <w:tcPr>
            <w:tcW w:type="dxa" w:w="2000"/>
            <w:tcBorders>
              <w:top w:val="single" w:color="2E74B5" w:sz="1"/>
              <w:left w:val="single" w:color="2E74B5" w:sz="1"/>
              <w:bottom w:val="single" w:color="2E74B5" w:sz="1"/>
              <w:right w:val="single" w:color="2E74B5" w:sz="1"/>
            </w:tcBorders>
            <w:shd w:fill="1D6A96" w:val="clear"/>
            <w:tcMar>
              <w:top w:type="dxa" w:w="80"/>
              <w:left w:type="dxa" w:w="120"/>
              <w:bottom w:type="dxa" w:w="80"/>
              <w:right w:type="dxa" w:w="120"/>
            </w:tcMar>
          </w:tcPr>
          <w:p>
            <w:r>
              <w:rPr>
                <w:b/>
                <w:bCs/>
                <w:color w:val="FFFFFF"/>
              </w:rPr>
              <w:t xml:space="preserve">Outil</w:t>
            </w:r>
          </w:p>
        </w:tc>
        <w:tc>
          <w:tcPr>
            <w:tcW w:type="dxa" w:w="5026"/>
            <w:tcBorders>
              <w:top w:val="single" w:color="2E74B5" w:sz="1"/>
              <w:left w:val="single" w:color="2E74B5" w:sz="1"/>
              <w:bottom w:val="single" w:color="2E74B5" w:sz="1"/>
              <w:right w:val="single" w:color="2E74B5" w:sz="1"/>
            </w:tcBorders>
            <w:shd w:fill="1D6A96" w:val="clear"/>
            <w:tcMar>
              <w:top w:type="dxa" w:w="80"/>
              <w:left w:type="dxa" w:w="120"/>
              <w:bottom w:type="dxa" w:w="80"/>
              <w:right w:type="dxa" w:w="120"/>
            </w:tcMar>
          </w:tcPr>
          <w:p>
            <w:r>
              <w:rPr>
                <w:b/>
                <w:bCs/>
                <w:color w:val="FFFFFF"/>
              </w:rPr>
              <w:t xml:space="preserve">Rôle</w:t>
            </w:r>
          </w:p>
        </w:tc>
      </w:tr>
      <w:tr>
        <w:tc>
          <w:tcPr>
            <w:tcW w:type="dxa" w:w="20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pPr>
              <w:spacing w:after="0"/>
            </w:pPr>
            <w:r>
              <w:t xml:space="preserve">Étape 1</w:t>
            </w:r>
          </w:p>
        </w:tc>
        <w:tc>
          <w:tcPr>
            <w:tcW w:type="dxa" w:w="20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pPr>
              <w:spacing w:after="0"/>
            </w:pPr>
            <w:r>
              <w:t xml:space="preserve">setup-php@v2</w:t>
            </w:r>
          </w:p>
        </w:tc>
        <w:tc>
          <w:tcPr>
            <w:tcW w:type="dxa" w:w="5026"/>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pPr>
              <w:spacing w:after="0"/>
            </w:pPr>
            <w:r>
              <w:t xml:space="preserve">Installe PHP 8.4 avec les extensions PDO et PDO_MySQL.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Étape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composer install</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Installe les dépendances Symfony.</w:t>
            </w:r>
          </w:p>
        </w:tc>
      </w:tr>
      <w:tr>
        <w:tc>
          <w:tcPr>
            <w:tcW w:type="dxa" w:w="20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pPr>
              <w:spacing w:after="0"/>
            </w:pPr>
            <w:r>
              <w:t xml:space="preserve">Étape 3</w:t>
            </w:r>
          </w:p>
        </w:tc>
        <w:tc>
          <w:tcPr>
            <w:tcW w:type="dxa" w:w="20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pPr>
              <w:spacing w:after="0"/>
            </w:pPr>
            <w:r>
              <w:t xml:space="preserve">doctrine:database:create</w:t>
            </w:r>
          </w:p>
        </w:tc>
        <w:tc>
          <w:tcPr>
            <w:tcW w:type="dxa" w:w="5026"/>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pPr>
              <w:spacing w:after="0"/>
            </w:pPr>
            <w:r>
              <w:t xml:space="preserve">Crée la base mybank_test si elle n'existe pas.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Étape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doctrine:migrations:migrate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Applique les migrations sur la base de test.</w:t>
            </w:r>
          </w:p>
        </w:tc>
      </w:tr>
      <w:tr>
        <w:tc>
          <w:tcPr>
            <w:tcW w:type="dxa" w:w="20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pPr>
              <w:spacing w:after="0"/>
            </w:pPr>
            <w:r>
              <w:t xml:space="preserve">Étape 5</w:t>
            </w:r>
          </w:p>
        </w:tc>
        <w:tc>
          <w:tcPr>
            <w:tcW w:type="dxa" w:w="20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pPr>
              <w:spacing w:after="0"/>
            </w:pPr>
            <w:r>
              <w:t xml:space="preserve">php bin/phpunit</w:t>
            </w:r>
          </w:p>
        </w:tc>
        <w:tc>
          <w:tcPr>
            <w:tcW w:type="dxa" w:w="5026"/>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pPr>
              <w:spacing w:after="0"/>
            </w:pPr>
            <w:r>
              <w:t xml:space="preserve">Exécute la suite de tests PHPUnit.</w:t>
            </w:r>
          </w:p>
        </w:tc>
      </w:tr>
    </w:tbl>
    <w:p>
      <w:r>
        <w:t xml:space="preserve"/>
      </w:r>
    </w:p>
    <w:p>
      <w:pPr>
        <w:pStyle w:val="Heading3"/>
      </w:pPr>
      <w:r>
        <w:t xml:space="preserve">Job backend-quality — Analyse statique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2E74B5" w:sz="1"/>
              <w:left w:val="single" w:color="2E74B5" w:sz="1"/>
              <w:bottom w:val="single" w:color="2E74B5" w:sz="1"/>
              <w:right w:val="single" w:color="2E74B5" w:sz="1"/>
            </w:tcBorders>
            <w:shd w:fill="1D6A96" w:val="clear"/>
            <w:tcMar>
              <w:top w:type="dxa" w:w="80"/>
              <w:left w:type="dxa" w:w="120"/>
              <w:bottom w:type="dxa" w:w="80"/>
              <w:right w:type="dxa" w:w="120"/>
            </w:tcMar>
          </w:tcPr>
          <w:p>
            <w:r>
              <w:rPr>
                <w:b/>
                <w:bCs/>
                <w:color w:val="FFFFFF"/>
              </w:rPr>
              <w:t xml:space="preserve">Étape</w:t>
            </w:r>
          </w:p>
        </w:tc>
        <w:tc>
          <w:tcPr>
            <w:tcW w:type="dxa" w:w="2000"/>
            <w:tcBorders>
              <w:top w:val="single" w:color="2E74B5" w:sz="1"/>
              <w:left w:val="single" w:color="2E74B5" w:sz="1"/>
              <w:bottom w:val="single" w:color="2E74B5" w:sz="1"/>
              <w:right w:val="single" w:color="2E74B5" w:sz="1"/>
            </w:tcBorders>
            <w:shd w:fill="1D6A96" w:val="clear"/>
            <w:tcMar>
              <w:top w:type="dxa" w:w="80"/>
              <w:left w:type="dxa" w:w="120"/>
              <w:bottom w:type="dxa" w:w="80"/>
              <w:right w:type="dxa" w:w="120"/>
            </w:tcMar>
          </w:tcPr>
          <w:p>
            <w:r>
              <w:rPr>
                <w:b/>
                <w:bCs/>
                <w:color w:val="FFFFFF"/>
              </w:rPr>
              <w:t xml:space="preserve">Outil</w:t>
            </w:r>
          </w:p>
        </w:tc>
        <w:tc>
          <w:tcPr>
            <w:tcW w:type="dxa" w:w="5026"/>
            <w:tcBorders>
              <w:top w:val="single" w:color="2E74B5" w:sz="1"/>
              <w:left w:val="single" w:color="2E74B5" w:sz="1"/>
              <w:bottom w:val="single" w:color="2E74B5" w:sz="1"/>
              <w:right w:val="single" w:color="2E74B5" w:sz="1"/>
            </w:tcBorders>
            <w:shd w:fill="1D6A96" w:val="clear"/>
            <w:tcMar>
              <w:top w:type="dxa" w:w="80"/>
              <w:left w:type="dxa" w:w="120"/>
              <w:bottom w:type="dxa" w:w="80"/>
              <w:right w:type="dxa" w:w="120"/>
            </w:tcMar>
          </w:tcPr>
          <w:p>
            <w:r>
              <w:rPr>
                <w:b/>
                <w:bCs/>
                <w:color w:val="FFFFFF"/>
              </w:rPr>
              <w:t xml:space="preserve">Rôle</w:t>
            </w:r>
          </w:p>
        </w:tc>
      </w:tr>
      <w:tr>
        <w:tc>
          <w:tcPr>
            <w:tcW w:type="dxa" w:w="20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pPr>
              <w:spacing w:after="0"/>
            </w:pPr>
            <w:r>
              <w:t xml:space="preserve">Étape 1</w:t>
            </w:r>
          </w:p>
        </w:tc>
        <w:tc>
          <w:tcPr>
            <w:tcW w:type="dxa" w:w="20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pPr>
              <w:spacing w:after="0"/>
            </w:pPr>
            <w:r>
              <w:t xml:space="preserve">composer install</w:t>
            </w:r>
          </w:p>
        </w:tc>
        <w:tc>
          <w:tcPr>
            <w:tcW w:type="dxa" w:w="5026"/>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pPr>
              <w:spacing w:after="0"/>
            </w:pPr>
            <w:r>
              <w:t xml:space="preserve">Installe les dépendances Symfony (y compris PHPStan).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Étape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phpstan analyse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Analyse statique du code PHP au niveau 5 (détection de bugs de type).</w:t>
            </w:r>
          </w:p>
        </w:tc>
      </w:tr>
    </w:tbl>
    <w:p>
      <w:r>
        <w:t xml:space="preserve"/>
      </w:r>
    </w:p>
    <w:p>
      <w:pPr>
        <w:pStyle w:val="Heading2"/>
      </w:pPr>
      <w:r>
        <w:t xml:space="preserve">2.3 Déploiement continu</w:t>
      </w:r>
    </w:p>
    <w:p>
      <w:pPr>
        <w:spacing w:after="160"/>
      </w:pPr>
      <w:r>
        <w:t xml:space="preserve">Lorsqu'un commit est validé sur la branche main, le pipeline CI s'exécute automatiquement. Si tous les jobs passent (lint, tests, qualité), le code est considéré comme déployable.</w:t>
      </w:r>
    </w:p>
    <w:p>
      <w:r>
        <w:t xml:space="preserve"/>
      </w:r>
    </w:p>
    <w:p>
      <w:pPr>
        <w:spacing w:after="160"/>
      </w:pPr>
      <w:r>
        <w:t xml:space="preserve">Le déploiement sur le VPS Hetzner (178.105.221.170) fonctionne ainsi :</w:t>
      </w:r>
    </w:p>
    <w:p>
      <w:pPr>
        <w:pStyle w:val="ListParagraph"/>
        <w:numPr>
          <w:ilvl w:val="0"/>
          <w:numId w:val="2"/>
        </w:numPr>
        <w:spacing w:after="80"/>
      </w:pPr>
      <w:r>
        <w:t xml:space="preserve">GitHub Actions se connecte au serveur via SSH en utilisant une clé privée stockée dans les secrets du dépôt.</w:t>
      </w:r>
    </w:p>
    <w:p>
      <w:pPr>
        <w:pStyle w:val="ListParagraph"/>
        <w:numPr>
          <w:ilvl w:val="0"/>
          <w:numId w:val="2"/>
        </w:numPr>
        <w:spacing w:after="80"/>
      </w:pPr>
      <w:r>
        <w:t xml:space="preserve">Les images Docker sont construites et publiées sur le registre GHCR (ghcr.io/zino-99/).</w:t>
      </w:r>
    </w:p>
    <w:p>
      <w:pPr>
        <w:pStyle w:val="ListParagraph"/>
        <w:numPr>
          <w:ilvl w:val="0"/>
          <w:numId w:val="2"/>
        </w:numPr>
        <w:spacing w:after="80"/>
      </w:pPr>
      <w:r>
        <w:t xml:space="preserve">Le serveur télécharge les nouvelles images et redémarre les conteneurs via docker compose pull &amp;&amp; docker compose up -d.</w:t>
      </w:r>
    </w:p>
    <w:p>
      <w:pPr>
        <w:pStyle w:val="ListParagraph"/>
        <w:numPr>
          <w:ilvl w:val="0"/>
          <w:numId w:val="2"/>
        </w:numPr>
        <w:spacing w:after="80"/>
      </w:pPr>
      <w:r>
        <w:t xml:space="preserve">L'application est mise à jour sans interruption de service perceptible.</w:t>
      </w:r>
    </w:p>
    <w:p>
      <w:r>
        <w:t xml:space="preserve"/>
      </w:r>
    </w:p>
    <w:p>
      <w:pPr>
        <w:pStyle w:val="Heading2"/>
      </w:pPr>
      <w:r>
        <w:t xml:space="preserve">2.4 Tests d'intégration</w:t>
      </w:r>
    </w:p>
    <w:p>
      <w:pPr>
        <w:spacing w:after="160"/>
      </w:pPr>
      <w:r>
        <w:t xml:space="preserve">Les tests d'intégration vérifient que toutes les couches de l'application fonctionnent correctement ensemble : le frontend React, l'API Symfony et la base de données MySQL.</w:t>
      </w:r>
    </w:p>
    <w:p>
      <w:r>
        <w:t xml:space="preserve"/>
      </w:r>
    </w:p>
    <w:p>
      <w:pPr>
        <w:spacing w:after="160"/>
      </w:pPr>
      <w:r>
        <w:t xml:space="preserve">Dans MyBank, ils sont implementés avec PHPUnit dans le fichier ExpenseApiTest.php. Chaque test :</w:t>
      </w:r>
    </w:p>
    <w:p>
      <w:pPr>
        <w:pStyle w:val="ListParagraph"/>
        <w:numPr>
          <w:ilvl w:val="0"/>
          <w:numId w:val="2"/>
        </w:numPr>
        <w:spacing w:after="80"/>
      </w:pPr>
      <w:r>
        <w:t xml:space="preserve">Démarre avec une base mybank_test vierge (migrations appliquées à chaque run CI).</w:t>
      </w:r>
    </w:p>
    <w:p>
      <w:pPr>
        <w:pStyle w:val="ListParagraph"/>
        <w:numPr>
          <w:ilvl w:val="0"/>
          <w:numId w:val="2"/>
        </w:numPr>
        <w:spacing w:after="80"/>
      </w:pPr>
      <w:r>
        <w:t xml:space="preserve">Envoie des requêtes HTTP réelles aux endpoints de l'API (liste, création, modification, suppression d'opérations).</w:t>
      </w:r>
    </w:p>
    <w:p>
      <w:pPr>
        <w:pStyle w:val="ListParagraph"/>
        <w:numPr>
          <w:ilvl w:val="0"/>
          <w:numId w:val="2"/>
        </w:numPr>
        <w:spacing w:after="80"/>
      </w:pPr>
      <w:r>
        <w:t xml:space="preserve">Vérifie les codes de réponse HTTP et la structure JSON retournée.</w:t>
      </w:r>
    </w:p>
    <w:p>
      <w:pPr>
        <w:pStyle w:val="ListParagraph"/>
        <w:numPr>
          <w:ilvl w:val="0"/>
          <w:numId w:val="2"/>
        </w:numPr>
        <w:spacing w:after="80"/>
      </w:pPr>
      <w:r>
        <w:t xml:space="preserve">S'assure que les données persistent correctement en base et que les règles métier (appartenance d'une opération à l'utilisateur connecté) sont respectées.</w:t>
      </w:r>
    </w:p>
    <w:p>
      <w:r>
        <w:t xml:space="preserve"/>
      </w:r>
    </w:p>
    <w:p>
      <w:pPr>
        <w:spacing w:after="160"/>
      </w:pPr>
      <w:r>
        <w:t xml:space="preserve">Ces tests sont déclenchés automatiquement à chaque push dans le job backend-tests du pipeline GitHub Actions, garantissant qu'aucune régression n'est introduite lors de l'ajout de nouvelles fonctionnalités.</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6" w:space="1"/>
      </w:pBdr>
      <w:spacing w:after="200" w:before="360"/>
      <w:outlineLvl w:val="0"/>
    </w:pPr>
    <w:rPr>
      <w:rFonts w:ascii="Arial" w:cs="Arial" w:eastAsia="Arial" w:hAnsi="Arial"/>
      <w:b/>
      <w:bCs/>
      <w:color w:val="1D355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4B5"/>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57B9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2026-06-15T22:22:45.595Z</dcterms:created>
  <dcterms:modified xsi:type="dcterms:W3CDTF">2026-06-15T22:22:45.596Z</dcterms:modified>
</cp:coreProperties>
</file>

<file path=docProps/custom.xml><?xml version="1.0" encoding="utf-8"?>
<Properties xmlns="http://schemas.openxmlformats.org/officeDocument/2006/custom-properties" xmlns:vt="http://schemas.openxmlformats.org/officeDocument/2006/docPropsVTypes"/>
</file>