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05FB47">
      <w:pPr>
        <w:spacing w:before="1040"/>
        <w:jc w:val="left"/>
      </w:pPr>
      <w:r>
        <w:rPr>
          <w:b/>
          <w:color w:val="187D80"/>
          <w:sz w:val="22"/>
        </w:rPr>
        <w:t>PROJECT  /  青岛·胶州湾</w:t>
      </w:r>
    </w:p>
    <w:p w14:paraId="63EBA0E6">
      <w:pPr>
        <w:spacing w:before="320" w:after="80"/>
      </w:pPr>
      <w:r>
        <w:rPr>
          <w:rFonts w:ascii="Noto Sans CJK SC" w:hAnsi="Noto Sans CJK SC" w:eastAsia="Noto Sans CJK SC"/>
          <w:b/>
          <w:color w:val="123047"/>
          <w:sz w:val="68"/>
        </w:rPr>
        <w:t>科技总览</w:t>
      </w:r>
    </w:p>
    <w:p w14:paraId="791C1375">
      <w:pPr>
        <w:jc w:val="center"/>
      </w:pPr>
    </w:p>
    <w:p w14:paraId="1B95ED9B">
      <w:pPr>
        <w:spacing w:before="200" w:after="60"/>
      </w:pPr>
      <w:r>
        <w:rPr>
          <w:b/>
          <w:color w:val="187D80"/>
          <w:sz w:val="20"/>
        </w:rPr>
        <w:t>世界设定</w:t>
      </w:r>
    </w:p>
    <w:p w14:paraId="37728308">
      <w:pPr>
        <w:spacing w:after="160"/>
      </w:pPr>
      <w:r>
        <w:rPr>
          <w:sz w:val="19"/>
        </w:rPr>
        <w:t>项目功能空间暂按 70% 固定陆地区域、30% 浮岛及其附属水域场景理解。陆地承担长期生活、能源与后勤；浮岛承担海上运动、海洋展示、节庆与观景。比例用于概念组织，最终须由总平面、生态承载力和海域条件校核。</w:t>
      </w:r>
    </w:p>
    <w:p w14:paraId="2233A7AE">
      <w:pPr>
        <w:spacing w:before="220"/>
      </w:pPr>
      <w:r>
        <w:rPr>
          <w:color w:val="667782"/>
          <w:sz w:val="17"/>
        </w:rPr>
        <w:t>版本说明  |  概念阶段 · 不是施工图或工程可行性报告</w:t>
      </w:r>
    </w:p>
    <w:p w14:paraId="6E6ADAB0">
      <w:r>
        <w:br w:type="page"/>
      </w:r>
    </w:p>
    <w:p w14:paraId="2738508A">
      <w:pPr>
        <w:pStyle w:val="3"/>
        <w:bidi w:val="0"/>
      </w:pPr>
      <w:r>
        <w:t>01  世界定位与总体逻辑</w:t>
      </w:r>
    </w:p>
    <w:p w14:paraId="3AAC7704">
      <w:pPr>
        <w:spacing w:after="0"/>
      </w:pPr>
    </w:p>
    <w:p w14:paraId="6A3B2122">
      <w:pPr>
        <w:pStyle w:val="4"/>
      </w:pPr>
      <w:r>
        <w:t>1.1  空间结构：70%陆地 + 30%浮岛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450"/>
        <w:gridCol w:w="2450"/>
        <w:gridCol w:w="2450"/>
      </w:tblGrid>
      <w:tr w14:paraId="137131AA">
        <w:trPr>
          <w:cantSplit/>
          <w:tblHeader/>
          <w:jc w:val="center"/>
        </w:trPr>
        <w:tc>
          <w:tcPr>
            <w:tcW w:w="1701" w:type="dxa"/>
            <w:shd w:val="clear" w:color="auto" w:fill="12304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09B15E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空间单元</w:t>
            </w:r>
          </w:p>
        </w:tc>
        <w:tc>
          <w:tcPr>
            <w:tcW w:w="1757" w:type="dxa"/>
            <w:shd w:val="clear" w:color="auto" w:fill="12304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3C40B7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核心功能</w:t>
            </w:r>
          </w:p>
        </w:tc>
        <w:tc>
          <w:tcPr>
            <w:tcW w:w="2835" w:type="dxa"/>
            <w:shd w:val="clear" w:color="auto" w:fill="12304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024715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优先配置</w:t>
            </w:r>
          </w:p>
        </w:tc>
        <w:tc>
          <w:tcPr>
            <w:tcW w:w="2721" w:type="dxa"/>
            <w:shd w:val="clear" w:color="auto" w:fill="12304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AD84C1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设计理由</w:t>
            </w:r>
          </w:p>
        </w:tc>
      </w:tr>
      <w:tr w14:paraId="11DE5AE4">
        <w:trPr>
          <w:cantSplit/>
          <w:jc w:val="center"/>
        </w:trPr>
        <w:tc>
          <w:tcPr>
            <w:tcW w:w="170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189DD0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7"/>
              </w:rPr>
              <w:t>固定陆地区域（约70%）</w:t>
            </w:r>
          </w:p>
        </w:tc>
        <w:tc>
          <w:tcPr>
            <w:tcW w:w="175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7A7CC8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7"/>
              </w:rPr>
              <w:t>生活、后勤、文化、能源与生态缓冲</w:t>
            </w:r>
          </w:p>
        </w:tc>
        <w:tc>
          <w:tcPr>
            <w:tcW w:w="283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B7D764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7"/>
              </w:rPr>
              <w:t>能源站与储能、综合剧场/影院/体育场、林地探索区、游客集散、维修与应急中心</w:t>
            </w:r>
          </w:p>
        </w:tc>
        <w:tc>
          <w:tcPr>
            <w:tcW w:w="272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00155F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7"/>
              </w:rPr>
              <w:t>设施重、负荷大、需要稳定基础与快速撤离的功能尽量落地</w:t>
            </w:r>
          </w:p>
        </w:tc>
      </w:tr>
      <w:tr w14:paraId="2DD30840">
        <w:trPr>
          <w:cantSplit/>
          <w:jc w:val="center"/>
        </w:trPr>
        <w:tc>
          <w:tcPr>
            <w:tcW w:w="1701" w:type="dxa"/>
            <w:shd w:val="clear" w:color="auto" w:fill="F4F8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C0C2AB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7"/>
              </w:rPr>
              <w:t>浮岛及配套水域（约30%）</w:t>
            </w:r>
          </w:p>
        </w:tc>
        <w:tc>
          <w:tcPr>
            <w:tcW w:w="1757" w:type="dxa"/>
            <w:shd w:val="clear" w:color="auto" w:fill="F4F8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00A280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7"/>
              </w:rPr>
              <w:t>海上运动、观景、亲水游乐、节庆</w:t>
            </w:r>
          </w:p>
        </w:tc>
        <w:tc>
          <w:tcPr>
            <w:tcW w:w="2835" w:type="dxa"/>
            <w:shd w:val="clear" w:color="auto" w:fill="F4F8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AAB218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7"/>
              </w:rPr>
              <w:t>模块化浮岛、游泳/冲浪/潜水区、水上乐园、海洋观景区、浮动演出平台</w:t>
            </w:r>
          </w:p>
        </w:tc>
        <w:tc>
          <w:tcPr>
            <w:tcW w:w="2721" w:type="dxa"/>
            <w:shd w:val="clear" w:color="auto" w:fill="F4F8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B85494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7"/>
              </w:rPr>
              <w:t>利用海面形成多层次场景，并允许分期扩建或调整</w:t>
            </w:r>
          </w:p>
        </w:tc>
      </w:tr>
      <w:tr w14:paraId="48EF2FD0">
        <w:trPr>
          <w:cantSplit/>
          <w:jc w:val="center"/>
        </w:trPr>
        <w:tc>
          <w:tcPr>
            <w:tcW w:w="170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26D0C4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7"/>
              </w:rPr>
              <w:t>水下空间（贯穿两者）</w:t>
            </w:r>
          </w:p>
        </w:tc>
        <w:tc>
          <w:tcPr>
            <w:tcW w:w="175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831F05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7"/>
              </w:rPr>
              <w:t>科普、观测、有限的沉浸式体验</w:t>
            </w:r>
          </w:p>
        </w:tc>
        <w:tc>
          <w:tcPr>
            <w:tcW w:w="283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A94A78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7"/>
              </w:rPr>
              <w:t>海底观景廊、生态观测舱、水下机器人路线</w:t>
            </w:r>
          </w:p>
        </w:tc>
        <w:tc>
          <w:tcPr>
            <w:tcW w:w="272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1BCE1B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7"/>
              </w:rPr>
              <w:t>优先观察真实海洋，不以大规模封闭式海洋动物展示为主</w:t>
            </w:r>
          </w:p>
        </w:tc>
      </w:tr>
    </w:tbl>
    <w:p w14:paraId="2D376275">
      <w:pPr>
        <w:pStyle w:val="4"/>
      </w:pPr>
      <w:r>
        <w:t>1.2  选址意味着什么</w:t>
      </w:r>
    </w:p>
    <w:p w14:paraId="62F3AA90">
      <w:pPr>
        <w:pStyle w:val="16"/>
        <w:spacing w:after="60"/>
        <w:ind w:left="312" w:hanging="142"/>
      </w:pPr>
      <w:r>
        <w:t>青岛胶州湾是半封闭海湾，相关科研资料显示其平均水深约6—7米，多数区域水深不足5米；青岛政务资料显示，当地属正规半日潮港，平均潮差约2.8米。[1][2] 这些条件意味着浮岛系统必须认真处理潮位变化、浅水区施工、海床承载、船舶航道与生态敏感区</w:t>
      </w:r>
      <w:r>
        <w:rPr>
          <w:rFonts w:hint="default"/>
          <w:lang w:val="en-US"/>
        </w:rPr>
        <w:t>.</w:t>
      </w:r>
    </w:p>
    <w:p w14:paraId="03AC9979">
      <w:pPr>
        <w:pStyle w:val="3"/>
      </w:pPr>
      <w:r>
        <w:t>02  科技树：从基础能力到核心场景</w:t>
      </w:r>
    </w:p>
    <w:p w14:paraId="201E4EED">
      <w:pPr>
        <w:jc w:val="center"/>
      </w:pPr>
      <w:r>
        <w:drawing>
          <wp:inline distT="0" distB="0" distL="114300" distR="114300">
            <wp:extent cx="5867400" cy="37814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7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450"/>
        <w:gridCol w:w="2450"/>
        <w:gridCol w:w="2450"/>
      </w:tblGrid>
      <w:tr w14:paraId="7480B424">
        <w:trPr>
          <w:cantSplit/>
          <w:tblHeader/>
          <w:jc w:val="center"/>
        </w:trPr>
        <w:tc>
          <w:tcPr>
            <w:tcW w:w="1587" w:type="dxa"/>
            <w:shd w:val="clear" w:color="auto" w:fill="12304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77C74F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科技树分支</w:t>
            </w:r>
          </w:p>
        </w:tc>
        <w:tc>
          <w:tcPr>
            <w:tcW w:w="2665" w:type="dxa"/>
            <w:shd w:val="clear" w:color="auto" w:fill="12304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A82869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基础技术</w:t>
            </w:r>
          </w:p>
        </w:tc>
        <w:tc>
          <w:tcPr>
            <w:tcW w:w="2438" w:type="dxa"/>
            <w:shd w:val="clear" w:color="auto" w:fill="12304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5FBE00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形成的平台能力</w:t>
            </w:r>
          </w:p>
        </w:tc>
        <w:tc>
          <w:tcPr>
            <w:tcW w:w="2381" w:type="dxa"/>
            <w:shd w:val="clear" w:color="auto" w:fill="12304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3CECAC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解锁的场景</w:t>
            </w:r>
          </w:p>
        </w:tc>
      </w:tr>
      <w:tr w14:paraId="59AEB1A3">
        <w:trPr>
          <w:cantSplit/>
          <w:jc w:val="center"/>
        </w:trPr>
        <w:tc>
          <w:tcPr>
            <w:tcW w:w="158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3DC19D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能源与资源</w:t>
            </w:r>
          </w:p>
        </w:tc>
        <w:tc>
          <w:tcPr>
            <w:tcW w:w="266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99DD55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地热勘探/取热、热电转换、光伏与风能、储能、微电网</w:t>
            </w:r>
          </w:p>
        </w:tc>
        <w:tc>
          <w:tcPr>
            <w:tcW w:w="243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2A8411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稳定供电、热水与供暖、峰值负荷管理、关键设备备用电源</w:t>
            </w:r>
          </w:p>
        </w:tc>
        <w:tc>
          <w:tcPr>
            <w:tcW w:w="238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07F3B5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夜间灯光、水上音乐节、综合场馆、海上设施连续运行</w:t>
            </w:r>
          </w:p>
        </w:tc>
      </w:tr>
      <w:tr w14:paraId="555817B0">
        <w:trPr>
          <w:cantSplit/>
          <w:jc w:val="center"/>
        </w:trPr>
        <w:tc>
          <w:tcPr>
            <w:tcW w:w="1587" w:type="dxa"/>
            <w:shd w:val="clear" w:color="auto" w:fill="F4F8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AE02A2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浮岛与结构</w:t>
            </w:r>
          </w:p>
        </w:tc>
        <w:tc>
          <w:tcPr>
            <w:tcW w:w="2665" w:type="dxa"/>
            <w:shd w:val="clear" w:color="auto" w:fill="F4F8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E01604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模块化浮体、系泊、压载、耐腐蚀材料、疲劳监测、抗风浪设计</w:t>
            </w:r>
          </w:p>
        </w:tc>
        <w:tc>
          <w:tcPr>
            <w:tcW w:w="2438" w:type="dxa"/>
            <w:shd w:val="clear" w:color="auto" w:fill="F4F8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D38578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浮岛稳定、模块互换、分区隔离、恶劣天气下安全停运</w:t>
            </w:r>
          </w:p>
        </w:tc>
        <w:tc>
          <w:tcPr>
            <w:tcW w:w="2381" w:type="dxa"/>
            <w:shd w:val="clear" w:color="auto" w:fill="F4F8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2E4F94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漂浮观景平台、水上乐园、浮动舞台、缆车终点站</w:t>
            </w:r>
          </w:p>
        </w:tc>
      </w:tr>
      <w:tr w14:paraId="27E3CE0A">
        <w:trPr>
          <w:cantSplit/>
          <w:jc w:val="center"/>
        </w:trPr>
        <w:tc>
          <w:tcPr>
            <w:tcW w:w="158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85824E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海水与生态</w:t>
            </w:r>
          </w:p>
        </w:tc>
        <w:tc>
          <w:tcPr>
            <w:tcW w:w="266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11D62E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海水预处理、淡化与回用、污水处理、环境传感、生态修复</w:t>
            </w:r>
          </w:p>
        </w:tc>
        <w:tc>
          <w:tcPr>
            <w:tcW w:w="243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DEAA53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水循环、污染预警、生态分区管理、海洋生物观测</w:t>
            </w:r>
          </w:p>
        </w:tc>
        <w:tc>
          <w:tcPr>
            <w:tcW w:w="238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95F06F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潜水、海底观景、受控捕鱼/海洋牧场、海洋公园</w:t>
            </w:r>
          </w:p>
        </w:tc>
      </w:tr>
      <w:tr w14:paraId="64F79630">
        <w:trPr>
          <w:cantSplit/>
          <w:jc w:val="center"/>
        </w:trPr>
        <w:tc>
          <w:tcPr>
            <w:tcW w:w="1587" w:type="dxa"/>
            <w:shd w:val="clear" w:color="auto" w:fill="F4F8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43D611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交通与安全</w:t>
            </w:r>
          </w:p>
        </w:tc>
        <w:tc>
          <w:tcPr>
            <w:tcW w:w="2665" w:type="dxa"/>
            <w:shd w:val="clear" w:color="auto" w:fill="F4F8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36AE8C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电动接驳船、低速水上交通、步行桥、缆车、电子围栏、救援通信</w:t>
            </w:r>
          </w:p>
        </w:tc>
        <w:tc>
          <w:tcPr>
            <w:tcW w:w="2438" w:type="dxa"/>
            <w:shd w:val="clear" w:color="auto" w:fill="F4F8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D193F1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陆海联运、分区人流、天气联锁、可撤离路线</w:t>
            </w:r>
          </w:p>
        </w:tc>
        <w:tc>
          <w:tcPr>
            <w:tcW w:w="2381" w:type="dxa"/>
            <w:shd w:val="clear" w:color="auto" w:fill="F4F8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1A968F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浮岛巡游、缆车观景、快艇体验、跨岛游线</w:t>
            </w:r>
          </w:p>
        </w:tc>
      </w:tr>
      <w:tr w14:paraId="26487DA6">
        <w:trPr>
          <w:cantSplit/>
          <w:jc w:val="center"/>
        </w:trPr>
        <w:tc>
          <w:tcPr>
            <w:tcW w:w="158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53B6E9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数字孪生与运营</w:t>
            </w:r>
          </w:p>
        </w:tc>
        <w:tc>
          <w:tcPr>
            <w:tcW w:w="266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FC959E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潮位/风浪/水质/结构传感、客流预测、预约系统、统一调度</w:t>
            </w:r>
          </w:p>
        </w:tc>
        <w:tc>
          <w:tcPr>
            <w:tcW w:w="243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D33F2E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动态开放、限流、设备预警、事件响应、能耗优化</w:t>
            </w:r>
          </w:p>
        </w:tc>
        <w:tc>
          <w:tcPr>
            <w:tcW w:w="238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766E5A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灯光秀、巡游、剧场联动、个性化探索线路</w:t>
            </w:r>
          </w:p>
        </w:tc>
      </w:tr>
    </w:tbl>
    <w:p w14:paraId="2B9B6488">
      <w:pPr>
        <w:pStyle w:val="4"/>
      </w:pPr>
      <w:r>
        <w:t>2.1  科技成熟度：哪些是现实技术，哪些是世界观前提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7"/>
        <w:gridCol w:w="3267"/>
        <w:gridCol w:w="3267"/>
      </w:tblGrid>
      <w:tr w14:paraId="75F22972">
        <w:trPr>
          <w:cantSplit/>
          <w:tblHeader/>
          <w:jc w:val="center"/>
        </w:trPr>
        <w:tc>
          <w:tcPr>
            <w:tcW w:w="1701" w:type="dxa"/>
            <w:shd w:val="clear" w:color="auto" w:fill="12304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95E9C9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w="3231" w:type="dxa"/>
            <w:shd w:val="clear" w:color="auto" w:fill="12304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402920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包含内容</w:t>
            </w:r>
          </w:p>
        </w:tc>
        <w:tc>
          <w:tcPr>
            <w:tcW w:w="4309" w:type="dxa"/>
            <w:shd w:val="clear" w:color="auto" w:fill="12304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76A377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在方案中的处理方式</w:t>
            </w:r>
          </w:p>
        </w:tc>
      </w:tr>
      <w:tr w14:paraId="58E53507">
        <w:trPr>
          <w:cantSplit/>
          <w:jc w:val="center"/>
        </w:trPr>
        <w:tc>
          <w:tcPr>
            <w:tcW w:w="170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AE556C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7"/>
              </w:rPr>
              <w:t>A｜现有技术可组合</w:t>
            </w:r>
          </w:p>
        </w:tc>
        <w:tc>
          <w:tcPr>
            <w:tcW w:w="323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904D89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7"/>
              </w:rPr>
              <w:t>光伏、风能、电池储能、电动船、污水处理、传感器、预约系统、无人机/灯光演出</w:t>
            </w:r>
          </w:p>
        </w:tc>
        <w:tc>
          <w:tcPr>
            <w:tcW w:w="430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BE26A3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7"/>
              </w:rPr>
              <w:t>可作为近期基础系统，但需做容量、维护和安全设计</w:t>
            </w:r>
          </w:p>
        </w:tc>
      </w:tr>
      <w:tr w14:paraId="6ED0BFDF">
        <w:trPr>
          <w:cantSplit/>
          <w:jc w:val="center"/>
        </w:trPr>
        <w:tc>
          <w:tcPr>
            <w:tcW w:w="1701" w:type="dxa"/>
            <w:shd w:val="clear" w:color="auto" w:fill="F4F8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AE7FDA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7"/>
              </w:rPr>
              <w:t>B｜高复杂度工程集成</w:t>
            </w:r>
          </w:p>
        </w:tc>
        <w:tc>
          <w:tcPr>
            <w:tcW w:w="3231" w:type="dxa"/>
            <w:shd w:val="clear" w:color="auto" w:fill="F4F8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FE4F21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7"/>
              </w:rPr>
              <w:t>大型模块化浮岛、长期系泊、多层水上交通、海底观景廊、可转换的剧院/影院/体育场</w:t>
            </w:r>
          </w:p>
        </w:tc>
        <w:tc>
          <w:tcPr>
            <w:tcW w:w="4309" w:type="dxa"/>
            <w:shd w:val="clear" w:color="auto" w:fill="F4F8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99061E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7"/>
              </w:rPr>
              <w:t>可作为中长期工程目标，需结构、海洋、消防、疏散、腐蚀和全寿命成本论证</w:t>
            </w:r>
          </w:p>
        </w:tc>
      </w:tr>
      <w:tr w14:paraId="1C7A5BA0">
        <w:trPr>
          <w:cantSplit/>
          <w:jc w:val="center"/>
        </w:trPr>
        <w:tc>
          <w:tcPr>
            <w:tcW w:w="170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D9A35C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7"/>
              </w:rPr>
              <w:t>C｜关键世界观假设</w:t>
            </w:r>
          </w:p>
        </w:tc>
        <w:tc>
          <w:tcPr>
            <w:tcW w:w="323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048A9D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7"/>
              </w:rPr>
              <w:t>以增强型地热系统为主的稳定能源底座；高密度浮岛网络长期稳定运行</w:t>
            </w:r>
          </w:p>
        </w:tc>
        <w:tc>
          <w:tcPr>
            <w:tcW w:w="430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02FF40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7"/>
              </w:rPr>
              <w:t>可用于设定，但必须标注为需要地质/工程突破的前提，而非现成、无条件可用的技术</w:t>
            </w:r>
          </w:p>
        </w:tc>
      </w:tr>
    </w:tbl>
    <w:p w14:paraId="0D0FE6D0">
      <w:pPr>
        <w:pStyle w:val="3"/>
      </w:pPr>
      <w:r>
        <w:t>03  支撑系统：浮岛、水与数字治理</w:t>
      </w:r>
    </w:p>
    <w:p w14:paraId="6455BC88">
      <w:pPr>
        <w:pStyle w:val="4"/>
      </w:pPr>
      <w:r>
        <w:t>3.</w:t>
      </w:r>
      <w:r>
        <w:rPr>
          <w:rFonts w:hint="default"/>
          <w:lang w:val="en-US"/>
        </w:rPr>
        <w:t>1</w:t>
      </w:r>
      <w:r>
        <w:t xml:space="preserve">  浮岛工程：让“漂浮”变成可管理的基础设施</w:t>
      </w:r>
    </w:p>
    <w:p w14:paraId="12700ED9">
      <w:pPr>
        <w:pStyle w:val="16"/>
        <w:spacing w:after="60"/>
        <w:ind w:left="312" w:hanging="142"/>
      </w:pPr>
      <w:r>
        <w:t>结构构成：采用若干标准化浮体模块，底部安排</w:t>
      </w:r>
      <w:bookmarkStart w:id="0" w:name="_GoBack"/>
      <w:bookmarkEnd w:id="0"/>
      <w:r>
        <w:t>压载舱、设备舱和检修通道；生活/游乐模块、能源模块和应急模块可拆分维护。</w:t>
      </w:r>
    </w:p>
    <w:p w14:paraId="6C1F9A40">
      <w:pPr>
        <w:pStyle w:val="16"/>
        <w:spacing w:after="60"/>
        <w:ind w:left="312" w:hanging="142"/>
      </w:pPr>
      <w:r>
        <w:t>系泊与姿态控制：固定海床锚固、柔性系泊与动态压载共同限制漂移和倾斜；传感器监测位移、应力、倾角和连接节点状态。</w:t>
      </w:r>
    </w:p>
    <w:p w14:paraId="3E7BBCE1">
      <w:pPr>
        <w:pStyle w:val="16"/>
        <w:spacing w:after="60"/>
        <w:ind w:left="312" w:hanging="142"/>
      </w:pPr>
      <w:r>
        <w:t>抗海水腐蚀：材料、涂层、异种金属隔离、排水与检修策略应从设计初期一并考虑；关键连接处要便于目视或传感检测。</w:t>
      </w:r>
    </w:p>
    <w:p w14:paraId="3AB7874E">
      <w:pPr>
        <w:pStyle w:val="16"/>
        <w:spacing w:after="60"/>
        <w:ind w:left="312" w:hanging="142"/>
      </w:pPr>
      <w:r>
        <w:t>天气运营规则：达到设定风浪阈值时，暂停蹦极、冲浪、快艇和高空缆车等活动；可移动设备收拢，游客沿预设路线返回陆地或避险空间。</w:t>
      </w:r>
    </w:p>
    <w:p w14:paraId="7A080AC2">
      <w:pPr>
        <w:pStyle w:val="4"/>
      </w:pPr>
      <w:r>
        <w:t>3.</w:t>
      </w:r>
      <w:r>
        <w:rPr>
          <w:rFonts w:hint="default"/>
          <w:lang w:val="en-US"/>
        </w:rPr>
        <w:t>2</w:t>
      </w:r>
      <w:r>
        <w:t xml:space="preserve">  水循环与生态：让海洋公园不成为污染源</w:t>
      </w:r>
    </w:p>
    <w:p w14:paraId="1FF8E748">
      <w:pPr>
        <w:pStyle w:val="16"/>
        <w:spacing w:after="60"/>
        <w:ind w:left="312" w:hanging="142"/>
      </w:pPr>
      <w:r>
        <w:t>饮用水优先采用市政补给、雨水收集与经过验证的淡化/回用组合；生活污水必须集中处理，达到标准后才考虑回用，不能把海湾当作天然排污口。</w:t>
      </w:r>
    </w:p>
    <w:p w14:paraId="1CBBA4C3">
      <w:pPr>
        <w:pStyle w:val="16"/>
        <w:spacing w:after="60"/>
        <w:ind w:left="312" w:hanging="142"/>
      </w:pPr>
      <w:r>
        <w:t>水上乐园尽量形成独立循环水系统；与自然海水相连的区域设置水质监测、事故截流和污染应急措施。</w:t>
      </w:r>
    </w:p>
    <w:p w14:paraId="2B622300">
      <w:pPr>
        <w:pStyle w:val="16"/>
        <w:spacing w:after="60"/>
        <w:ind w:left="312" w:hanging="142"/>
      </w:pPr>
      <w:r>
        <w:t>捕鱼活动定位为“受控体验”：划定捕捞区、季节、数量和物种，配套海洋牧场或生态科普；核心观测区不开展捕鱼，不投喂野生动物。</w:t>
      </w:r>
    </w:p>
    <w:p w14:paraId="33E0CB90">
      <w:pPr>
        <w:pStyle w:val="16"/>
        <w:spacing w:after="60"/>
        <w:ind w:left="312" w:hanging="142"/>
      </w:pPr>
      <w:r>
        <w:t>海底观景的核心是观察真实生态；灯光、水下噪声、游客密度和船只尾流均纳入管控，设置静默区和季节性休养区。</w:t>
      </w:r>
    </w:p>
    <w:p w14:paraId="6A43BB36">
      <w:pPr>
        <w:pStyle w:val="4"/>
      </w:pPr>
      <w:r>
        <w:t>3.</w:t>
      </w:r>
      <w:r>
        <w:rPr>
          <w:rFonts w:hint="default"/>
          <w:lang w:val="en-US"/>
        </w:rPr>
        <w:t>3</w:t>
      </w:r>
      <w:r>
        <w:t xml:space="preserve">  数字孪生：让每个场景服从同一套运行规则</w:t>
      </w:r>
    </w:p>
    <w:p w14:paraId="3A44EE82">
      <w:r>
        <w:t>以数字孪生平台汇总潮位、风浪、水质、结构状态、能源负荷、票务和客流。系统不仅用于展示数据，更承担“是否开放、开放多少、何时停运、如何疏散”的决策辅助功能。海湾灯光秀可把实时潮位与水质状态转化为可视化的“海湾脉搏”，让科技表达与环境责任成为同一套体验。</w:t>
      </w:r>
    </w:p>
    <w:p w14:paraId="76976455">
      <w:pPr>
        <w:pStyle w:val="3"/>
      </w:pPr>
      <w:r>
        <w:t>04  核心场景选择：少而强，彼此联动</w:t>
      </w:r>
    </w:p>
    <w:p w14:paraId="41EC243D">
      <w:r>
        <w:t>用户列出的活动不建议平铺成十几个独立景点，而应聚合成四个主场景和若干辅助体验。每个主场景都同时承担娱乐、公共生活或生态教育功能，形成世界辨识度。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450"/>
        <w:gridCol w:w="2450"/>
        <w:gridCol w:w="2450"/>
      </w:tblGrid>
      <w:tr w14:paraId="1EA028F3">
        <w:trPr>
          <w:cantSplit/>
          <w:tblHeader/>
          <w:jc w:val="center"/>
        </w:trPr>
        <w:tc>
          <w:tcPr>
            <w:tcW w:w="1417" w:type="dxa"/>
            <w:shd w:val="clear" w:color="auto" w:fill="12304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817EF5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主场景</w:t>
            </w:r>
          </w:p>
        </w:tc>
        <w:tc>
          <w:tcPr>
            <w:tcW w:w="1928" w:type="dxa"/>
            <w:shd w:val="clear" w:color="auto" w:fill="12304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3EBCF5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整合活动</w:t>
            </w:r>
          </w:p>
        </w:tc>
        <w:tc>
          <w:tcPr>
            <w:tcW w:w="2494" w:type="dxa"/>
            <w:shd w:val="clear" w:color="auto" w:fill="12304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771088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所依赖的关键科技</w:t>
            </w:r>
          </w:p>
        </w:tc>
        <w:tc>
          <w:tcPr>
            <w:tcW w:w="3402" w:type="dxa"/>
            <w:shd w:val="clear" w:color="auto" w:fill="12304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867775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辨识度与设计重点</w:t>
            </w:r>
          </w:p>
        </w:tc>
      </w:tr>
      <w:tr w14:paraId="14620FD4">
        <w:trPr>
          <w:cantSplit/>
          <w:jc w:val="center"/>
        </w:trPr>
        <w:tc>
          <w:tcPr>
            <w:tcW w:w="141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CEC048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01  海下第二世界</w:t>
            </w:r>
          </w:p>
        </w:tc>
        <w:tc>
          <w:tcPr>
            <w:tcW w:w="192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7D5B0D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潜水、游泳、水下世界、海洋公园、捕鱼体验</w:t>
            </w:r>
          </w:p>
        </w:tc>
        <w:tc>
          <w:tcPr>
            <w:tcW w:w="249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870823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水质监测、潜水安全、海底观景廊/观测舱、水下通信、生态分区、受控捕捞</w:t>
            </w:r>
          </w:p>
        </w:tc>
        <w:tc>
          <w:tcPr>
            <w:tcW w:w="340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B8DDCB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不是单纯的水族馆，而是“看见真实海湾”。将海洋科普、生态修复和有限度的沉浸体验结合；潜水区、航道和观测区严格分开。</w:t>
            </w:r>
          </w:p>
        </w:tc>
      </w:tr>
      <w:tr w14:paraId="19473920">
        <w:trPr>
          <w:cantSplit/>
          <w:jc w:val="center"/>
        </w:trPr>
        <w:tc>
          <w:tcPr>
            <w:tcW w:w="1417" w:type="dxa"/>
            <w:shd w:val="clear" w:color="auto" w:fill="F4F8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FAFDDE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02  海湾运动冒险</w:t>
            </w:r>
          </w:p>
        </w:tc>
        <w:tc>
          <w:tcPr>
            <w:tcW w:w="1928" w:type="dxa"/>
            <w:shd w:val="clear" w:color="auto" w:fill="F4F8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9C783F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冲浪、水上快艇、水上乐园、蹦极、缆车</w:t>
            </w:r>
          </w:p>
        </w:tc>
        <w:tc>
          <w:tcPr>
            <w:tcW w:w="2494" w:type="dxa"/>
            <w:shd w:val="clear" w:color="auto" w:fill="F4F8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0AC190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浪况监测、电动快艇、分区浮岛、救援通信、缆车风速联锁、救生设备</w:t>
            </w:r>
          </w:p>
        </w:tc>
        <w:tc>
          <w:tcPr>
            <w:tcW w:w="3402" w:type="dxa"/>
            <w:shd w:val="clear" w:color="auto" w:fill="F4F8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DBBCC9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把冒险项目集中在可控区域，形成由低强度到高强度的体验梯度。缆车只跨越适合的封闭走廊，遇强风自动停运。</w:t>
            </w:r>
          </w:p>
        </w:tc>
      </w:tr>
      <w:tr w14:paraId="243F593D">
        <w:trPr>
          <w:cantSplit/>
          <w:jc w:val="center"/>
        </w:trPr>
        <w:tc>
          <w:tcPr>
            <w:tcW w:w="141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782F09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03  海湾巨幕文化场</w:t>
            </w:r>
          </w:p>
        </w:tc>
        <w:tc>
          <w:tcPr>
            <w:tcW w:w="192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A4286C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剧院/电影院/体育场多合一、花车与人物巡游、灯光秀、水上音乐节、烟花秀</w:t>
            </w:r>
          </w:p>
        </w:tc>
        <w:tc>
          <w:tcPr>
            <w:tcW w:w="249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91EC07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可转换场馆、声光电系统、浮动舞台、客流监测、分时预约、低碳供电和应急疏散</w:t>
            </w:r>
          </w:p>
        </w:tc>
        <w:tc>
          <w:tcPr>
            <w:tcW w:w="340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CF83D5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形成世界的“共同记忆中心”。场馆平时服务体育、电影与演出，节庆时连接陆地巡游与海上表演。烟花可保留为少量、限定时段的特别事件，日常主秀以灯光、水幕和低噪声方案为主。</w:t>
            </w:r>
          </w:p>
        </w:tc>
      </w:tr>
      <w:tr w14:paraId="1B489600">
        <w:trPr>
          <w:cantSplit/>
          <w:jc w:val="center"/>
        </w:trPr>
        <w:tc>
          <w:tcPr>
            <w:tcW w:w="1417" w:type="dxa"/>
            <w:shd w:val="clear" w:color="auto" w:fill="F4F8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46878A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04  云林探索带</w:t>
            </w:r>
          </w:p>
        </w:tc>
        <w:tc>
          <w:tcPr>
            <w:tcW w:w="1928" w:type="dxa"/>
            <w:shd w:val="clear" w:color="auto" w:fill="F4F8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85C6F2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原始森林探险、林间步道、缆车/树冠观景</w:t>
            </w:r>
          </w:p>
        </w:tc>
        <w:tc>
          <w:tcPr>
            <w:tcW w:w="2494" w:type="dxa"/>
            <w:shd w:val="clear" w:color="auto" w:fill="F4F8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9CE66A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森林水循环、微气候监测、生态步道、承载量预约、消防与救援系统</w:t>
            </w:r>
          </w:p>
        </w:tc>
        <w:tc>
          <w:tcPr>
            <w:tcW w:w="3402" w:type="dxa"/>
            <w:shd w:val="clear" w:color="auto" w:fill="F4F8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7AD2FD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把森林设为生态保育与探索并重的区域。若使用人工营建森林，应称为“原生风貌森林”或“森林生态区”，不能把人工种植直接宣传成天然原始森林。</w:t>
            </w:r>
          </w:p>
        </w:tc>
      </w:tr>
    </w:tbl>
    <w:p w14:paraId="2C5E2613">
      <w:pPr>
        <w:pStyle w:val="4"/>
      </w:pPr>
      <w:r>
        <w:t>4.1  必须保留的特色小体验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7"/>
        <w:gridCol w:w="3267"/>
        <w:gridCol w:w="3267"/>
      </w:tblGrid>
      <w:tr w14:paraId="3FA12A26">
        <w:trPr>
          <w:cantSplit/>
          <w:tblHeader/>
          <w:jc w:val="center"/>
        </w:trPr>
        <w:tc>
          <w:tcPr>
            <w:tcW w:w="1701" w:type="dxa"/>
            <w:shd w:val="clear" w:color="auto" w:fill="12304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92E990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体验</w:t>
            </w:r>
          </w:p>
        </w:tc>
        <w:tc>
          <w:tcPr>
            <w:tcW w:w="3572" w:type="dxa"/>
            <w:shd w:val="clear" w:color="auto" w:fill="12304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B39CD0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建议定位</w:t>
            </w:r>
          </w:p>
        </w:tc>
        <w:tc>
          <w:tcPr>
            <w:tcW w:w="3969" w:type="dxa"/>
            <w:shd w:val="clear" w:color="auto" w:fill="12304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B5BA1B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和核心场景的关系</w:t>
            </w:r>
          </w:p>
        </w:tc>
      </w:tr>
      <w:tr w14:paraId="654C0684">
        <w:trPr>
          <w:cantSplit/>
          <w:jc w:val="center"/>
        </w:trPr>
        <w:tc>
          <w:tcPr>
            <w:tcW w:w="170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EAD329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7"/>
              </w:rPr>
              <w:t>钓鱼/捕鱼</w:t>
            </w:r>
          </w:p>
        </w:tc>
        <w:tc>
          <w:tcPr>
            <w:tcW w:w="35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B5EB9A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7"/>
              </w:rPr>
              <w:t>受控海洋体验与生态教育，不作为无限量娱乐项目</w:t>
            </w:r>
          </w:p>
        </w:tc>
        <w:tc>
          <w:tcPr>
            <w:tcW w:w="396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3F4705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7"/>
              </w:rPr>
              <w:t>嵌入“海下第二世界”，以预约、限额、季节规则与海洋牧场为条件</w:t>
            </w:r>
          </w:p>
        </w:tc>
      </w:tr>
      <w:tr w14:paraId="10866D96">
        <w:trPr>
          <w:cantSplit/>
          <w:jc w:val="center"/>
        </w:trPr>
        <w:tc>
          <w:tcPr>
            <w:tcW w:w="1701" w:type="dxa"/>
            <w:shd w:val="clear" w:color="auto" w:fill="F4F8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B9AC1A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7"/>
              </w:rPr>
              <w:t>烟花秀</w:t>
            </w:r>
          </w:p>
        </w:tc>
        <w:tc>
          <w:tcPr>
            <w:tcW w:w="3572" w:type="dxa"/>
            <w:shd w:val="clear" w:color="auto" w:fill="F4F8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7455EB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7"/>
              </w:rPr>
              <w:t>节庆限定项目，并非每日常规演出</w:t>
            </w:r>
          </w:p>
        </w:tc>
        <w:tc>
          <w:tcPr>
            <w:tcW w:w="3969" w:type="dxa"/>
            <w:shd w:val="clear" w:color="auto" w:fill="F4F8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AAD430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7"/>
              </w:rPr>
              <w:t>嵌入“海湾巨幕文化场”，根据风向、空气质量、噪声和动物活动决定是否举办</w:t>
            </w:r>
          </w:p>
        </w:tc>
      </w:tr>
      <w:tr w14:paraId="715668BC">
        <w:trPr>
          <w:cantSplit/>
          <w:jc w:val="center"/>
        </w:trPr>
        <w:tc>
          <w:tcPr>
            <w:tcW w:w="170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F8AB0E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7"/>
              </w:rPr>
              <w:t>水上快艇</w:t>
            </w:r>
          </w:p>
        </w:tc>
        <w:tc>
          <w:tcPr>
            <w:tcW w:w="35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523438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7"/>
              </w:rPr>
              <w:t>采用低排放或电动船型；限定航线与速度</w:t>
            </w:r>
          </w:p>
        </w:tc>
        <w:tc>
          <w:tcPr>
            <w:tcW w:w="396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56847B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7"/>
              </w:rPr>
              <w:t>嵌入“海湾运动冒险”，远离潜水、游泳、观测和生态敏感区</w:t>
            </w:r>
          </w:p>
        </w:tc>
      </w:tr>
      <w:tr w14:paraId="095D46AD">
        <w:trPr>
          <w:cantSplit/>
          <w:jc w:val="center"/>
        </w:trPr>
        <w:tc>
          <w:tcPr>
            <w:tcW w:w="1701" w:type="dxa"/>
            <w:shd w:val="clear" w:color="auto" w:fill="F4F8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FE82F7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7"/>
              </w:rPr>
              <w:t>缆车</w:t>
            </w:r>
          </w:p>
        </w:tc>
        <w:tc>
          <w:tcPr>
            <w:tcW w:w="3572" w:type="dxa"/>
            <w:shd w:val="clear" w:color="auto" w:fill="F4F8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F9F800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7"/>
              </w:rPr>
              <w:t>观景交通，而非所有浮岛之间的唯一交通方式</w:t>
            </w:r>
          </w:p>
        </w:tc>
        <w:tc>
          <w:tcPr>
            <w:tcW w:w="3969" w:type="dxa"/>
            <w:shd w:val="clear" w:color="auto" w:fill="F4F8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39C634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7"/>
              </w:rPr>
              <w:t>陆地高点—指定浮岛之间设置；电动船与步行连接作为备选路线</w:t>
            </w:r>
          </w:p>
        </w:tc>
      </w:tr>
      <w:tr w14:paraId="7D043ABC">
        <w:trPr>
          <w:cantSplit/>
          <w:jc w:val="center"/>
        </w:trPr>
        <w:tc>
          <w:tcPr>
            <w:tcW w:w="170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5D4284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7"/>
              </w:rPr>
              <w:t>人物/花车巡游</w:t>
            </w:r>
          </w:p>
        </w:tc>
        <w:tc>
          <w:tcPr>
            <w:tcW w:w="35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E0318E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7"/>
              </w:rPr>
              <w:t>可移动文化内容，可依节庆主题更新</w:t>
            </w:r>
          </w:p>
        </w:tc>
        <w:tc>
          <w:tcPr>
            <w:tcW w:w="396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5D163C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7"/>
              </w:rPr>
              <w:t>连接主场馆、陆地公共空间和浮岛码头，路线需避开紧急疏散通道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5672FA31">
        <w:trPr>
          <w:cantSplit/>
          <w:jc w:val="center"/>
        </w:trPr>
        <w:tc>
          <w:tcPr>
            <w:tcW w:w="9802" w:type="dxa"/>
            <w:shd w:val="clear" w:color="auto" w:fill="FFF4E2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064EA91">
            <w:pPr>
              <w:spacing w:after="40" w:line="278" w:lineRule="auto"/>
            </w:pPr>
            <w:r>
              <w:rPr>
                <w:b/>
                <w:color w:val="A57518"/>
                <w:sz w:val="21"/>
              </w:rPr>
              <w:t xml:space="preserve">推荐的世界级记忆点  </w:t>
            </w:r>
            <w:r>
              <w:rPr>
                <w:color w:val="263744"/>
                <w:sz w:val="20"/>
              </w:rPr>
              <w:t>“海湾脉搏”——海面潮位、风浪、水质与浮岛灯光联动。每晚的主秀不是只播放预设动画，而是把当天真实的海湾状态转译为灯光、水幕和音乐；环境状态不适合时，系统会自动降级演出。</w:t>
            </w:r>
          </w:p>
        </w:tc>
      </w:tr>
    </w:tbl>
    <w:p w14:paraId="18E33F56">
      <w:pPr>
        <w:spacing w:after="0"/>
      </w:pPr>
    </w:p>
    <w:p w14:paraId="59D46079">
      <w:pPr>
        <w:pStyle w:val="3"/>
      </w:pPr>
      <w:r>
        <w:t>05  安全边界与风险控制</w:t>
      </w:r>
    </w:p>
    <w:p w14:paraId="412FB173">
      <w:r>
        <w:t>高体验场景越集中，越需要把风险规则设计在场景之前。建议将全世界划分为生活区、运动区、生态静默区、航行区、节庆集散区和应急通道，并在数字孪生平台上同步显示。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7"/>
        <w:gridCol w:w="3267"/>
        <w:gridCol w:w="3267"/>
      </w:tblGrid>
      <w:tr w14:paraId="7A059D4B">
        <w:trPr>
          <w:cantSplit/>
          <w:tblHeader/>
          <w:jc w:val="center"/>
        </w:trPr>
        <w:tc>
          <w:tcPr>
            <w:tcW w:w="1474" w:type="dxa"/>
            <w:shd w:val="clear" w:color="auto" w:fill="12304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0DC840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w="2381" w:type="dxa"/>
            <w:shd w:val="clear" w:color="auto" w:fill="12304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3CD06D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典型场景</w:t>
            </w:r>
          </w:p>
        </w:tc>
        <w:tc>
          <w:tcPr>
            <w:tcW w:w="5443" w:type="dxa"/>
            <w:shd w:val="clear" w:color="auto" w:fill="12304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8637FD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最低设计要求</w:t>
            </w:r>
          </w:p>
        </w:tc>
      </w:tr>
      <w:tr w14:paraId="423735DC">
        <w:trPr>
          <w:cantSplit/>
          <w:jc w:val="center"/>
        </w:trPr>
        <w:tc>
          <w:tcPr>
            <w:tcW w:w="147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A2A7D4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极端天气</w:t>
            </w:r>
          </w:p>
        </w:tc>
        <w:tc>
          <w:tcPr>
            <w:tcW w:w="238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B40A67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浮岛、缆车、蹦极、冲浪、快艇、露天音乐节</w:t>
            </w:r>
          </w:p>
        </w:tc>
        <w:tc>
          <w:tcPr>
            <w:tcW w:w="544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1BE977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实时风浪阈值；活动自动停运；模块系泊与设备收拢；明确返陆路线和避险空间</w:t>
            </w:r>
          </w:p>
        </w:tc>
      </w:tr>
      <w:tr w14:paraId="0EC21F7C">
        <w:trPr>
          <w:cantSplit/>
          <w:jc w:val="center"/>
        </w:trPr>
        <w:tc>
          <w:tcPr>
            <w:tcW w:w="1474" w:type="dxa"/>
            <w:shd w:val="clear" w:color="auto" w:fill="F4F8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C0FA59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水上活动冲突</w:t>
            </w:r>
          </w:p>
        </w:tc>
        <w:tc>
          <w:tcPr>
            <w:tcW w:w="2381" w:type="dxa"/>
            <w:shd w:val="clear" w:color="auto" w:fill="F4F8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A3215B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游泳、潜水、快艇、捕鱼同时存在</w:t>
            </w:r>
          </w:p>
        </w:tc>
        <w:tc>
          <w:tcPr>
            <w:tcW w:w="5443" w:type="dxa"/>
            <w:shd w:val="clear" w:color="auto" w:fill="F4F8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4815EF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物理隔离+电子边界；不同活动分区和分时；快艇低速/禁入区；潜水员定位与救援通信</w:t>
            </w:r>
          </w:p>
        </w:tc>
      </w:tr>
      <w:tr w14:paraId="54420784">
        <w:trPr>
          <w:cantSplit/>
          <w:jc w:val="center"/>
        </w:trPr>
        <w:tc>
          <w:tcPr>
            <w:tcW w:w="147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F3EA18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能源中断</w:t>
            </w:r>
          </w:p>
        </w:tc>
        <w:tc>
          <w:tcPr>
            <w:tcW w:w="238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67021E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夜间灯光秀、演出场馆、海上导航</w:t>
            </w:r>
          </w:p>
        </w:tc>
        <w:tc>
          <w:tcPr>
            <w:tcW w:w="544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F34C4A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关键负荷分级；应急照明与通信独立供电；表演可中断；关键设备定期演练</w:t>
            </w:r>
          </w:p>
        </w:tc>
      </w:tr>
      <w:tr w14:paraId="522DFABD">
        <w:trPr>
          <w:cantSplit/>
          <w:jc w:val="center"/>
        </w:trPr>
        <w:tc>
          <w:tcPr>
            <w:tcW w:w="1474" w:type="dxa"/>
            <w:shd w:val="clear" w:color="auto" w:fill="F4F8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C7812B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海洋污染</w:t>
            </w:r>
          </w:p>
        </w:tc>
        <w:tc>
          <w:tcPr>
            <w:tcW w:w="2381" w:type="dxa"/>
            <w:shd w:val="clear" w:color="auto" w:fill="F4F8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1D1908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水上乐园、码头、浮岛餐饮、捕鱼活动</w:t>
            </w:r>
          </w:p>
        </w:tc>
        <w:tc>
          <w:tcPr>
            <w:tcW w:w="5443" w:type="dxa"/>
            <w:shd w:val="clear" w:color="auto" w:fill="F4F8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0CACCB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污水与生活垃圾闭环处理；泄漏监测；事故截流；禁止未经处理的排放</w:t>
            </w:r>
          </w:p>
        </w:tc>
      </w:tr>
      <w:tr w14:paraId="06E56C2F">
        <w:trPr>
          <w:cantSplit/>
          <w:jc w:val="center"/>
        </w:trPr>
        <w:tc>
          <w:tcPr>
            <w:tcW w:w="147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695917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人群拥挤</w:t>
            </w:r>
          </w:p>
        </w:tc>
        <w:tc>
          <w:tcPr>
            <w:tcW w:w="238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1BEDD3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大型演出、巡游、音乐节、烟花秀</w:t>
            </w:r>
          </w:p>
        </w:tc>
        <w:tc>
          <w:tcPr>
            <w:tcW w:w="544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87F014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预约与分区限流；单向疏散路径；实时客流预警；不占用消防和救援通道</w:t>
            </w:r>
          </w:p>
        </w:tc>
      </w:tr>
      <w:tr w14:paraId="4D6ECCC3">
        <w:trPr>
          <w:cantSplit/>
          <w:jc w:val="center"/>
        </w:trPr>
        <w:tc>
          <w:tcPr>
            <w:tcW w:w="1474" w:type="dxa"/>
            <w:shd w:val="clear" w:color="auto" w:fill="F4F8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CB4849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地热工程不确定性</w:t>
            </w:r>
          </w:p>
        </w:tc>
        <w:tc>
          <w:tcPr>
            <w:tcW w:w="2381" w:type="dxa"/>
            <w:shd w:val="clear" w:color="auto" w:fill="F4F8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ED53F0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地热钻井、取热与回灌</w:t>
            </w:r>
          </w:p>
        </w:tc>
        <w:tc>
          <w:tcPr>
            <w:tcW w:w="5443" w:type="dxa"/>
            <w:shd w:val="clear" w:color="auto" w:fill="F4F8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A6BDE4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先做地质与水文论证；监测微震和地面变形；设置停井阈值与备用能源；分阶段试验</w:t>
            </w:r>
          </w:p>
        </w:tc>
      </w:tr>
    </w:tbl>
    <w:p w14:paraId="0A08B724">
      <w:pPr>
        <w:pStyle w:val="4"/>
      </w:pPr>
      <w:r>
        <w:t>5.1  建议采用的“红线式”运营规则</w:t>
      </w:r>
    </w:p>
    <w:p w14:paraId="1DB5C504">
      <w:pPr>
        <w:pStyle w:val="16"/>
        <w:spacing w:after="60"/>
        <w:ind w:left="312" w:hanging="142"/>
      </w:pPr>
      <w:r>
        <w:t>任何娱乐收入都不能覆盖生态监测、工程维护和应急演练的预算；维护预算不是可选项。</w:t>
      </w:r>
    </w:p>
    <w:p w14:paraId="335C2744">
      <w:pPr>
        <w:pStyle w:val="16"/>
        <w:spacing w:after="60"/>
        <w:ind w:left="312" w:hanging="142"/>
      </w:pPr>
      <w:r>
        <w:t>天气或结构数据不完整时，默认降级或暂停高风险项目，而不是依赖现场人员临时判断。</w:t>
      </w:r>
    </w:p>
    <w:p w14:paraId="17FDFCE7">
      <w:pPr>
        <w:pStyle w:val="16"/>
        <w:spacing w:after="60"/>
        <w:ind w:left="312" w:hanging="142"/>
      </w:pPr>
      <w:r>
        <w:t>水质异常、海洋动物异常活动、污染事故或重要生态窗口出现时，优先关闭相邻水上活动，启动调查与恢复。</w:t>
      </w:r>
    </w:p>
    <w:p w14:paraId="13EADECC">
      <w:pPr>
        <w:pStyle w:val="16"/>
        <w:spacing w:after="60"/>
        <w:ind w:left="312" w:hanging="142"/>
      </w:pPr>
      <w:r>
        <w:t>烟花、蹦极、深水潜水、开放水域冲浪等高风险项目均需单独的安全论证、专业人员和明确的停运条件。</w:t>
      </w:r>
    </w:p>
    <w:p w14:paraId="0CA1A49F">
      <w:pPr>
        <w:pStyle w:val="16"/>
        <w:spacing w:after="60"/>
        <w:ind w:left="312" w:hanging="142"/>
      </w:pPr>
      <w:r>
        <w:t>浮岛不作为不可撤离的孤岛：每个岛区需要容量上限、避险空间、应急供电、通信和至少一种独立返陆方式。</w:t>
      </w:r>
    </w:p>
    <w:p w14:paraId="72B34CF1">
      <w:pPr>
        <w:pStyle w:val="3"/>
      </w:pPr>
      <w:r>
        <w:t>06  建设顺序：按科技树逐层解锁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450"/>
        <w:gridCol w:w="2450"/>
        <w:gridCol w:w="2450"/>
      </w:tblGrid>
      <w:tr w14:paraId="66FBE7FA">
        <w:trPr>
          <w:cantSplit/>
          <w:tblHeader/>
          <w:jc w:val="center"/>
        </w:trPr>
        <w:tc>
          <w:tcPr>
            <w:tcW w:w="1531" w:type="dxa"/>
            <w:shd w:val="clear" w:color="auto" w:fill="12304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981C0B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w="2551" w:type="dxa"/>
            <w:shd w:val="clear" w:color="auto" w:fill="12304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372398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优先建设</w:t>
            </w:r>
          </w:p>
        </w:tc>
        <w:tc>
          <w:tcPr>
            <w:tcW w:w="2835" w:type="dxa"/>
            <w:shd w:val="clear" w:color="auto" w:fill="12304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C34B53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通过标准</w:t>
            </w:r>
          </w:p>
        </w:tc>
        <w:tc>
          <w:tcPr>
            <w:tcW w:w="2381" w:type="dxa"/>
            <w:shd w:val="clear" w:color="auto" w:fill="12304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24C732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暂缓内容</w:t>
            </w:r>
          </w:p>
        </w:tc>
      </w:tr>
      <w:tr w14:paraId="46901052">
        <w:trPr>
          <w:cantSplit/>
          <w:jc w:val="center"/>
        </w:trPr>
        <w:tc>
          <w:tcPr>
            <w:tcW w:w="153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36392D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Phase 0｜调查与设计</w:t>
            </w:r>
          </w:p>
        </w:tc>
        <w:tc>
          <w:tcPr>
            <w:tcW w:w="255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3E5213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海域调查、地质勘探、生态基线、风浪潮位分析、航道与保护区划定</w:t>
            </w:r>
          </w:p>
        </w:tc>
        <w:tc>
          <w:tcPr>
            <w:tcW w:w="283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6F0840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确认可建设区域、禁建区、能源可行性与初始风险边界</w:t>
            </w:r>
          </w:p>
        </w:tc>
        <w:tc>
          <w:tcPr>
            <w:tcW w:w="238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419FCF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暂不承诺浮岛数量、体量或大型高空交通路线</w:t>
            </w:r>
          </w:p>
        </w:tc>
      </w:tr>
      <w:tr w14:paraId="7440E27C">
        <w:trPr>
          <w:cantSplit/>
          <w:jc w:val="center"/>
        </w:trPr>
        <w:tc>
          <w:tcPr>
            <w:tcW w:w="1531" w:type="dxa"/>
            <w:shd w:val="clear" w:color="auto" w:fill="F4F8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443F6B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Phase 1｜生命与安全底座</w:t>
            </w:r>
          </w:p>
        </w:tc>
        <w:tc>
          <w:tcPr>
            <w:tcW w:w="2551" w:type="dxa"/>
            <w:shd w:val="clear" w:color="auto" w:fill="F4F8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06E037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能源试验系统、储能、净水/污水处理、数字监测、陆上应急中心</w:t>
            </w:r>
          </w:p>
        </w:tc>
        <w:tc>
          <w:tcPr>
            <w:tcW w:w="2835" w:type="dxa"/>
            <w:shd w:val="clear" w:color="auto" w:fill="F4F8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64B24E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关键负荷可持续运行；污染可截流；应急通信和撤离方案通过演练</w:t>
            </w:r>
          </w:p>
        </w:tc>
        <w:tc>
          <w:tcPr>
            <w:tcW w:w="2381" w:type="dxa"/>
            <w:shd w:val="clear" w:color="auto" w:fill="F4F8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9F9926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大型节庆、烟花和高风险水上运动</w:t>
            </w:r>
          </w:p>
        </w:tc>
      </w:tr>
      <w:tr w14:paraId="132E6EC1">
        <w:trPr>
          <w:cantSplit/>
          <w:jc w:val="center"/>
        </w:trPr>
        <w:tc>
          <w:tcPr>
            <w:tcW w:w="153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BE6045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Phase 2｜第一座示范浮岛</w:t>
            </w:r>
          </w:p>
        </w:tc>
        <w:tc>
          <w:tcPr>
            <w:tcW w:w="255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184B13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一个小型模块化浮岛、低速电动接驳、水质与结构传感</w:t>
            </w:r>
          </w:p>
        </w:tc>
        <w:tc>
          <w:tcPr>
            <w:tcW w:w="283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176FE9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经历不同季节和典型天气运行；完成检修、停运和撤离演练</w:t>
            </w:r>
          </w:p>
        </w:tc>
        <w:tc>
          <w:tcPr>
            <w:tcW w:w="238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857867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大规模多岛网络和高客流场景</w:t>
            </w:r>
          </w:p>
        </w:tc>
      </w:tr>
      <w:tr w14:paraId="667F1A64">
        <w:trPr>
          <w:cantSplit/>
          <w:jc w:val="center"/>
        </w:trPr>
        <w:tc>
          <w:tcPr>
            <w:tcW w:w="1531" w:type="dxa"/>
            <w:shd w:val="clear" w:color="auto" w:fill="F4F8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CEDDEB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Phase 3｜四大核心场景</w:t>
            </w:r>
          </w:p>
        </w:tc>
        <w:tc>
          <w:tcPr>
            <w:tcW w:w="2551" w:type="dxa"/>
            <w:shd w:val="clear" w:color="auto" w:fill="F4F8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CA3C73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海下观测、海湾运动、综合场馆、云林探索带分区开放</w:t>
            </w:r>
          </w:p>
        </w:tc>
        <w:tc>
          <w:tcPr>
            <w:tcW w:w="2835" w:type="dxa"/>
            <w:shd w:val="clear" w:color="auto" w:fill="F4F8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87503D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场景依赖系统稳定，限流/天气联锁/环境指标可运行</w:t>
            </w:r>
          </w:p>
        </w:tc>
        <w:tc>
          <w:tcPr>
            <w:tcW w:w="2381" w:type="dxa"/>
            <w:shd w:val="clear" w:color="auto" w:fill="F4F8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2A58F0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所有活动同时满负荷运行</w:t>
            </w:r>
          </w:p>
        </w:tc>
      </w:tr>
      <w:tr w14:paraId="7F34E566">
        <w:trPr>
          <w:cantSplit/>
          <w:jc w:val="center"/>
        </w:trPr>
        <w:tc>
          <w:tcPr>
            <w:tcW w:w="153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2DE09D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Phase 4｜节庆与网络化运营</w:t>
            </w:r>
          </w:p>
        </w:tc>
        <w:tc>
          <w:tcPr>
            <w:tcW w:w="255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57ECA7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跨岛巡游、灯光水幕秀、预约联动、模块扩展</w:t>
            </w:r>
          </w:p>
        </w:tc>
        <w:tc>
          <w:tcPr>
            <w:tcW w:w="283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873170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能耗、客流、环境、安全与维护数据形成闭环</w:t>
            </w:r>
          </w:p>
        </w:tc>
        <w:tc>
          <w:tcPr>
            <w:tcW w:w="238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F011B7">
            <w:pPr>
              <w:spacing w:before="30" w:after="30" w:line="269" w:lineRule="auto"/>
            </w:pPr>
            <w:r>
              <w:rPr>
                <w:rFonts w:ascii="Noto Sans CJK SC" w:hAnsi="Noto Sans CJK SC" w:eastAsia="Noto Sans CJK SC"/>
                <w:color w:val="263744"/>
                <w:sz w:val="16"/>
              </w:rPr>
              <w:t>未经过验证的全自主、高密度浮岛系统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0C59B3B2">
        <w:trPr>
          <w:cantSplit/>
          <w:jc w:val="center"/>
        </w:trPr>
        <w:tc>
          <w:tcPr>
            <w:tcW w:w="9802" w:type="dxa"/>
            <w:shd w:val="clear" w:color="auto" w:fill="E6F2F3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B12E255">
            <w:pPr>
              <w:spacing w:after="40" w:line="278" w:lineRule="auto"/>
            </w:pPr>
            <w:r>
              <w:rPr>
                <w:b/>
                <w:color w:val="187D80"/>
                <w:sz w:val="21"/>
              </w:rPr>
              <w:t xml:space="preserve">最重要的项目管理原则  </w:t>
            </w:r>
            <w:r>
              <w:rPr>
                <w:color w:val="263744"/>
                <w:sz w:val="20"/>
              </w:rPr>
              <w:t>不按“先建最炫的景点”排序，而按“先获得可靠底层能力，再逐步解锁体验”排序。第一座示范浮岛的价值不在规模，而在于验证结构、维护、生态与应急流程。</w:t>
            </w:r>
          </w:p>
        </w:tc>
      </w:tr>
    </w:tbl>
    <w:p w14:paraId="455C91C4">
      <w:pPr>
        <w:spacing w:after="0"/>
      </w:pPr>
    </w:p>
    <w:p w14:paraId="18C4E3A1">
      <w:pPr>
        <w:pStyle w:val="3"/>
      </w:pPr>
      <w:r>
        <w:t>07  总结：让所有科技汇聚成一个完整世界</w:t>
      </w:r>
    </w:p>
    <w:p w14:paraId="5932D0FC">
      <w:r>
        <w:t>这套科技体系的辨识度不应只是“有很多海上游乐设施”，而是“海陆浮岛在同一套能源与生态逻辑下运行”。地热提供世界观中的稳定底座，模块化浮岛让空间有弹性，数字孪生把潮位、天气、水质、能耗和人流转化为可执行的运行规则，四个核心场景则把技术转译成居民与游客能真实感受到的生活。</w:t>
      </w:r>
    </w:p>
    <w:p w14:paraId="295A0CBD">
      <w:pPr>
        <w:pStyle w:val="16"/>
        <w:spacing w:after="60"/>
        <w:ind w:left="312" w:hanging="142"/>
      </w:pPr>
      <w:r>
        <w:t>底层主线：地热与微电网、模块化浮岛、海水循环、数字孪生和应急体系。</w:t>
      </w:r>
    </w:p>
    <w:p w14:paraId="7968228E">
      <w:pPr>
        <w:pStyle w:val="16"/>
        <w:spacing w:after="60"/>
        <w:ind w:left="312" w:hanging="142"/>
      </w:pPr>
      <w:r>
        <w:t>空间主线：70%固定陆地区域承担生活与大型设施；30%浮岛/水域承担水上活动、海洋体验与节庆。</w:t>
      </w:r>
    </w:p>
    <w:p w14:paraId="751214DB">
      <w:pPr>
        <w:pStyle w:val="16"/>
        <w:spacing w:after="60"/>
        <w:ind w:left="312" w:hanging="142"/>
      </w:pPr>
      <w:r>
        <w:t>体验主线：海下第二世界、海湾运动冒险、海湾巨幕文化、云林探索带。</w:t>
      </w:r>
    </w:p>
    <w:p w14:paraId="39545FB8">
      <w:pPr>
        <w:pStyle w:val="16"/>
        <w:spacing w:after="60"/>
        <w:ind w:left="312" w:hanging="142"/>
      </w:pPr>
      <w:r>
        <w:t>世界特色：把“海湾脉搏”设为统一的视觉与运营机制，让真实环境状态参与每日体验。</w:t>
      </w:r>
    </w:p>
    <w:p w14:paraId="7DB43867">
      <w:pPr>
        <w:pStyle w:val="16"/>
        <w:spacing w:after="60"/>
        <w:ind w:left="312" w:hanging="142"/>
      </w:pPr>
      <w:r>
        <w:t>实施底线：所有高阶设定均需明确技术成熟度；尤其是地热主供能、长期浮岛稳定和海洋生态影响，需在后续阶段单独验证。</w:t>
      </w:r>
    </w:p>
    <w:p w14:paraId="4CFA23E4">
      <w:pPr>
        <w:pStyle w:val="3"/>
      </w:pPr>
      <w:r>
        <w:t>参考资料与设计依据</w:t>
      </w:r>
    </w:p>
    <w:p w14:paraId="5C812F0D">
      <w:pPr>
        <w:spacing w:after="80"/>
        <w:ind w:left="198" w:hanging="198"/>
      </w:pPr>
      <w:r>
        <w:rPr>
          <w:color w:val="667782"/>
          <w:sz w:val="16"/>
        </w:rPr>
        <w:t>[1] 青岛市人民政府. 自然环境（含海岛、潮汐与气候信息）[EB/OL]. https://www.qingdao.gov.cn/yfqd/qdgk/zrhj/202009/t20200903_67.shtml</w:t>
      </w:r>
    </w:p>
    <w:p w14:paraId="1DB64745">
      <w:pPr>
        <w:spacing w:after="80"/>
        <w:ind w:left="198" w:hanging="198"/>
      </w:pPr>
      <w:r>
        <w:rPr>
          <w:color w:val="667782"/>
          <w:sz w:val="16"/>
        </w:rPr>
        <w:t>[2] 中国科学院海洋研究所. Jiaozhou Bay National Marine Ecosystem Research Station[EB/OL]. https://english.qdio.cas.cn/research/SuSystem/202207/t20220722_308752.html</w:t>
      </w:r>
    </w:p>
    <w:p w14:paraId="44D80575">
      <w:pPr>
        <w:spacing w:after="80"/>
        <w:ind w:left="198" w:hanging="198"/>
      </w:pPr>
      <w:r>
        <w:rPr>
          <w:color w:val="667782"/>
          <w:sz w:val="16"/>
        </w:rPr>
        <w:t>[3] 国务院新闻办公室. 中国的海洋生态环境保护白皮书[EB/OL]. 2024-07-11. https://www.mee.gov.cn/ywdt/xwfb/202407/t20240711_1081353.shtml</w:t>
      </w:r>
    </w:p>
    <w:p w14:paraId="02DC95CC">
      <w:pPr>
        <w:spacing w:after="80"/>
        <w:ind w:left="198" w:hanging="198"/>
      </w:pPr>
      <w:r>
        <w:rPr>
          <w:color w:val="667782"/>
          <w:sz w:val="16"/>
        </w:rPr>
        <w:t>[4] U.S. Department of Energy. Enhanced Geothermal Systems[EB/OL]. https://www.energy.gov/hgeo/geothermal/enhanced-geothermal-systems</w:t>
      </w:r>
    </w:p>
    <w:p w14:paraId="73EE08C5">
      <w:pPr>
        <w:spacing w:after="80"/>
        <w:ind w:left="198" w:hanging="198"/>
      </w:pPr>
      <w:r>
        <w:rPr>
          <w:color w:val="667782"/>
          <w:sz w:val="16"/>
        </w:rPr>
        <w:t>[5] The State Council of the People’s Republic of China. Territorial spatial plan approved for Qingdao[EB/OL]. 2024-11-14. https://english.www.gov.cn/policies/latestreleases/202411/14/content_WS6735a7fec6d0868f4e8ecef7.html</w:t>
      </w:r>
    </w:p>
    <w:sectPr>
      <w:headerReference r:id="rId5" w:type="default"/>
      <w:footerReference r:id="rId6" w:type="default"/>
      <w:pgSz w:w="12240" w:h="15840"/>
      <w:pgMar w:top="1162" w:right="1219" w:bottom="1077" w:left="1219" w:header="482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38047E">
    <w:pPr>
      <w:pStyle w:val="24"/>
      <w:jc w:val="center"/>
    </w:pPr>
    <w:r>
      <w:rPr>
        <w:color w:val="667782"/>
        <w:sz w:val="16"/>
      </w:rPr>
      <w:t xml:space="preserve">概念方案 · 需经工程与生态论证  |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3" w:lineRule="auto"/>
      </w:pPr>
      <w:r>
        <w:separator/>
      </w:r>
    </w:p>
  </w:footnote>
  <w:footnote w:type="continuationSeparator" w:id="1">
    <w:p>
      <w:pPr>
        <w:spacing w:before="0" w:after="0" w:line="29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931AA6">
    <w:pPr>
      <w:pStyle w:val="25"/>
      <w:pBdr>
        <w:bottom w:val="single" w:color="187D80" w:sz="6" w:space="4"/>
      </w:pBdr>
      <w:jc w:val="right"/>
    </w:pPr>
    <w:r>
      <w:rPr>
        <w:rFonts w:ascii="Noto Sans CJK SC" w:hAnsi="Noto Sans CJK SC" w:eastAsia="Noto Sans CJK SC"/>
        <w:color w:val="187D80"/>
        <w:sz w:val="16"/>
      </w:rPr>
      <w:t>海湾浮岛世界  /  TECHNOLOGY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FF1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93" w:lineRule="auto"/>
    </w:pPr>
    <w:rPr>
      <w:rFonts w:ascii="Noto Sans CJK SC" w:hAnsi="Noto Sans CJK SC" w:eastAsia="Noto Sans CJK SC" w:cstheme="minorBidi"/>
      <w:color w:val="263744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60" w:after="140"/>
      <w:outlineLvl w:val="0"/>
    </w:pPr>
    <w:rPr>
      <w:rFonts w:asciiTheme="majorHAnsi" w:hAnsiTheme="majorHAnsi" w:eastAsiaTheme="majorEastAsia" w:cstheme="majorBidi"/>
      <w:b/>
      <w:bCs/>
      <w:color w:val="123047"/>
      <w:sz w:val="3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100"/>
      <w:outlineLvl w:val="1"/>
    </w:pPr>
    <w:rPr>
      <w:rFonts w:asciiTheme="majorHAnsi" w:hAnsiTheme="majorHAnsi" w:eastAsiaTheme="majorEastAsia" w:cstheme="majorBidi"/>
      <w:b/>
      <w:bCs/>
      <w:color w:val="187D8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23047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23047"/>
      <w:spacing w:val="5"/>
      <w:kern w:val="28"/>
      <w:sz w:val="6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Office_12.1.29182.29182_F1E327BC-269C-435d-A152-05C5408002CA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OpenAI</dc:creator>
  <dc:description>generated by python-docx</dc:description>
  <cp:keywords>科技总览,科技树,青岛,胶州湾,浮岛,地热,海洋生态</cp:keywords>
  <cp:lastModifiedBy>WPS_1785427075</cp:lastModifiedBy>
  <dcterms:modified xsi:type="dcterms:W3CDTF">2026-10-23T19:56:34Z</dcterms:modified>
  <dc:subject>青岛·胶州湾海陆浮岛世界的科技理念、科技树与核心场景</dc:subject>
  <dc:title>海湾浮岛世界：科技总览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2052-12.1.29182.29182</vt:lpwstr>
  </property>
  <property fmtid="{D5CDD505-2E9C-101B-9397-08002B2CF9AE}" pid="3" name="ICV">
    <vt:lpwstr>6EA94C3E57CAF5D8724BDB6AA393E0DE_42</vt:lpwstr>
  </property>
</Properties>
</file>