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Noto Sans CJK SC" w:hAnsi="Noto Sans CJK SC" w:eastAsia="Noto Sans CJK SC"/>
          <w:b/>
          <w:color w:val="153D5B"/>
          <w:sz w:val="42"/>
        </w:rPr>
        <w:t>科技创新设计</w:t>
      </w:r>
      <w:r>
        <w:rPr>
          <w:rFonts w:ascii="Noto Sans CJK SC" w:hAnsi="Noto Sans CJK SC" w:eastAsia="Noto Sans CJK SC"/>
          <w:b/>
          <w:color w:val="2F938E"/>
          <w:sz w:val="20"/>
        </w:rPr>
        <w:t xml:space="preserve">  /  让游憩成为科技与自然共同完成的一场演出</w:t>
      </w:r>
    </w:p>
    <w:p>
      <w:pPr>
        <w:spacing w:before="0" w:after="100" w:line="240" w:lineRule="auto"/>
      </w:pPr>
      <w:r>
        <w:rPr>
          <w:rFonts w:ascii="Noto Sans CJK SC" w:hAnsi="Noto Sans CJK SC" w:eastAsia="Noto Sans CJK SC"/>
          <w:b w:val="0"/>
          <w:color w:val="4F6877"/>
          <w:sz w:val="18"/>
        </w:rPr>
        <w:t>设计主张：不靠堆叠设备制造未来感，而是让设施能够“感知环境、适应潮汐、按需变化”，并让安全与生态成为体验的一部分。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6681560"/>
            <wp:docPr id="1" name="Picture 1" descr="胶州湾游憩科技创新场景总览：水下观景、水上飞行器概念、沉浸式水上音乐舞台、缆车云端步道、互动水上乐园和森林探险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infographic_poster_layout_overall_sce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68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 w:line="240" w:lineRule="auto"/>
      </w:pPr>
      <w:r>
        <w:rPr>
          <w:rFonts w:ascii="Noto Sans CJK SC" w:hAnsi="Noto Sans CJK SC" w:eastAsia="Noto Sans CJK SC"/>
          <w:b/>
          <w:color w:val="153D5B"/>
          <w:sz w:val="38"/>
        </w:rPr>
        <w:t>五个创新亮点</w:t>
      </w:r>
      <w:r>
        <w:rPr>
          <w:rFonts w:ascii="Noto Sans CJK SC" w:hAnsi="Noto Sans CJK SC" w:eastAsia="Noto Sans CJK SC"/>
          <w:b/>
          <w:color w:val="2F938E"/>
          <w:sz w:val="20"/>
        </w:rPr>
        <w:t xml:space="preserve">  |  从单点设施到湾域体验网络</w:t>
      </w:r>
    </w:p>
    <w:p>
      <w:pPr>
        <w:spacing w:before="0" w:after="120" w:line="240" w:lineRule="auto"/>
      </w:pPr>
      <w:r>
        <w:rPr>
          <w:rFonts w:ascii="Noto Sans CJK SC" w:hAnsi="Noto Sans CJK SC" w:eastAsia="Noto Sans CJK SC"/>
          <w:b w:val="0"/>
          <w:color w:val="4F6877"/>
          <w:sz w:val="18"/>
        </w:rPr>
        <w:t>每项创新都对应一个清晰的体验变化，以及一条不可越过的工程或生态边界。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cantSplit/>
        </w:trPr>
        <w:tc>
          <w:tcPr>
            <w:tcW w:type="dxa" w:w="5011"/>
            <w:vAlign w:val="center"/>
            <w:shd w:fill="F5FAFC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D8E7ED"/>
              <w:left w:val="single" w:sz="8" w:color="D8E7ED"/>
              <w:bottom w:val="single" w:sz="8" w:color="D8E7ED"/>
              <w:right w:val="single" w:sz="8" w:color="D8E7ED"/>
              <w:insideH w:val="single" w:sz="8" w:color="D8E7ED"/>
              <w:insideV w:val="single" w:sz="8" w:color="D8E7E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2880"/>
            </w:tblGrid>
            <w:tr>
              <w:tc>
                <w:tcPr>
                  <w:tcW w:type="dxa" w:w="1800"/>
                  <w:vAlign w:val="center"/>
                  <w:tcMar>
                    <w:top w:w="0" w:type="dxa"/>
                    <w:start w:w="30" w:type="dxa"/>
                    <w:bottom w:w="0" w:type="dxa"/>
                    <w:end w:w="30" w:type="dxa"/>
                  </w:tcMar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15568" cy="621038"/>
                        <wp:docPr id="2" name="Picture 2" descr="01  海下第二客厅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underwater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5568" cy="62103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880"/>
                  <w:vAlign w:val="center"/>
                  <w:tcMar>
                    <w:top w:w="0" w:type="dxa"/>
                    <w:start w:w="30" w:type="dxa"/>
                    <w:bottom w:w="0" w:type="dxa"/>
                    <w:end w:w="30" w:type="dxa"/>
                  </w:tcMar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Noto Sans CJK SC" w:hAnsi="Noto Sans CJK SC" w:eastAsia="Noto Sans CJK SC"/>
                      <w:b/>
                      <w:color w:val="153D5B"/>
                      <w:sz w:val="20"/>
                    </w:rPr>
                    <w:t>01  海下第二客厅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Noto Sans CJK SC" w:hAnsi="Noto Sans CJK SC" w:eastAsia="Noto Sans CJK SC"/>
                      <w:b w:val="0"/>
                      <w:color w:val="344E5C"/>
                      <w:sz w:val="16"/>
                    </w:rPr>
                    <w:t>把水下观景廊设计成“可读海洋”的窗口：透明舱段提供近距离视野，AR叠加物种与水温信息，环境传感器实时监测水质和结构状态。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Noto Sans CJK SC" w:hAnsi="Noto Sans CJK SC" w:eastAsia="Noto Sans CJK SC"/>
                      <w:b w:val="0"/>
                      <w:color w:val="5F7985"/>
                      <w:sz w:val="15"/>
                    </w:rPr>
                    <w:t>边界：不以追逐、投喂或触摸野生生物制造互动；观景空间与海洋生境物理隔离。</w:t>
                  </w:r>
                </w:p>
              </w:tc>
            </w:tr>
          </w:tbl>
          <w:p/>
        </w:tc>
        <w:tc>
          <w:tcPr>
            <w:tcW w:type="dxa" w:w="5011"/>
            <w:vAlign w:val="center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D8E7ED"/>
              <w:left w:val="single" w:sz="8" w:color="D8E7ED"/>
              <w:bottom w:val="single" w:sz="8" w:color="D8E7ED"/>
              <w:right w:val="single" w:sz="8" w:color="D8E7ED"/>
              <w:insideH w:val="single" w:sz="8" w:color="D8E7ED"/>
              <w:insideV w:val="single" w:sz="8" w:color="D8E7E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2880"/>
            </w:tblGrid>
            <w:tr>
              <w:tc>
                <w:tcPr>
                  <w:tcW w:type="dxa" w:w="1800"/>
                  <w:vAlign w:val="center"/>
                  <w:tcMar>
                    <w:top w:w="0" w:type="dxa"/>
                    <w:start w:w="30" w:type="dxa"/>
                    <w:bottom w:w="0" w:type="dxa"/>
                    <w:end w:w="30" w:type="dxa"/>
                  </w:tcMar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15568" cy="604860"/>
                        <wp:docPr id="3" name="Picture 3" descr="02  潮汐变形舞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ge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5568" cy="6048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880"/>
                  <w:vAlign w:val="center"/>
                  <w:tcMar>
                    <w:top w:w="0" w:type="dxa"/>
                    <w:start w:w="30" w:type="dxa"/>
                    <w:bottom w:w="0" w:type="dxa"/>
                    <w:end w:w="30" w:type="dxa"/>
                  </w:tcMar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Noto Sans CJK SC" w:hAnsi="Noto Sans CJK SC" w:eastAsia="Noto Sans CJK SC"/>
                      <w:b/>
                      <w:color w:val="153D5B"/>
                      <w:sz w:val="20"/>
                    </w:rPr>
                    <w:t>02  潮汐变形舞台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Noto Sans CJK SC" w:hAnsi="Noto Sans CJK SC" w:eastAsia="Noto Sans CJK SC"/>
                      <w:b w:val="0"/>
                      <w:color w:val="344E5C"/>
                      <w:sz w:val="16"/>
                    </w:rPr>
                    <w:t>模块化浮台可组合成环形音乐台、巡游水道旁舞台或小型水上剧场；升降连接桥补偿潮位变化，灯光和水幕随音乐编排。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Noto Sans CJK SC" w:hAnsi="Noto Sans CJK SC" w:eastAsia="Noto Sans CJK SC"/>
                      <w:b w:val="0"/>
                      <w:color w:val="5F7985"/>
                      <w:sz w:val="15"/>
                    </w:rPr>
                    <w:t>边界：舞台模块、观众区和系泊系统分别核算；恶劣海况达到阈值即停止演出。</w:t>
                  </w:r>
                </w:p>
              </w:tc>
            </w:tr>
          </w:tbl>
          <w:p/>
        </w:tc>
      </w:tr>
    </w:tbl>
    <w:p>
      <w:pPr>
        <w:spacing w:before="0" w:after="20" w:line="240" w:lineRule="auto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cantSplit/>
        </w:trPr>
        <w:tc>
          <w:tcPr>
            <w:tcW w:type="dxa" w:w="5011"/>
            <w:vAlign w:val="center"/>
            <w:shd w:fill="F8FBFC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D8E7ED"/>
              <w:left w:val="single" w:sz="8" w:color="D8E7ED"/>
              <w:bottom w:val="single" w:sz="8" w:color="D8E7ED"/>
              <w:right w:val="single" w:sz="8" w:color="D8E7ED"/>
              <w:insideH w:val="single" w:sz="8" w:color="D8E7ED"/>
              <w:insideV w:val="single" w:sz="8" w:color="D8E7E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2880"/>
            </w:tblGrid>
            <w:tr>
              <w:tc>
                <w:tcPr>
                  <w:tcW w:type="dxa" w:w="1800"/>
                  <w:vAlign w:val="center"/>
                  <w:tcMar>
                    <w:top w:w="0" w:type="dxa"/>
                    <w:start w:w="30" w:type="dxa"/>
                    <w:bottom w:w="0" w:type="dxa"/>
                    <w:end w:w="30" w:type="dxa"/>
                  </w:tcMar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15568" cy="697230"/>
                        <wp:docPr id="4" name="Picture 4" descr="03  一域多态运动水环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aterpark.jp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5568" cy="69723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880"/>
                  <w:vAlign w:val="center"/>
                  <w:tcMar>
                    <w:top w:w="0" w:type="dxa"/>
                    <w:start w:w="30" w:type="dxa"/>
                    <w:bottom w:w="0" w:type="dxa"/>
                    <w:end w:w="30" w:type="dxa"/>
                  </w:tcMar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Noto Sans CJK SC" w:hAnsi="Noto Sans CJK SC" w:eastAsia="Noto Sans CJK SC"/>
                      <w:b/>
                      <w:color w:val="153D5B"/>
                      <w:sz w:val="20"/>
                    </w:rPr>
                    <w:t>03  一域多态运动水环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Noto Sans CJK SC" w:hAnsi="Noto Sans CJK SC" w:eastAsia="Noto Sans CJK SC"/>
                      <w:b w:val="0"/>
                      <w:color w:val="344E5C"/>
                      <w:sz w:val="16"/>
                    </w:rPr>
                    <w:t>把游泳、冲浪、戏水和安静观景组织成相邻但分隔的水域；闸门、预约时段和电子导引协同切换场景，减少交叉干扰。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Noto Sans CJK SC" w:hAnsi="Noto Sans CJK SC" w:eastAsia="Noto Sans CJK SC"/>
                      <w:b w:val="0"/>
                      <w:color w:val="5F7985"/>
                      <w:sz w:val="15"/>
                    </w:rPr>
                    <w:t>边界：高速艇航道与游泳/潜水区硬隔离；人工造浪只用于独立受控水池，并单列能耗。</w:t>
                  </w:r>
                </w:p>
              </w:tc>
            </w:tr>
          </w:tbl>
          <w:p/>
        </w:tc>
        <w:tc>
          <w:tcPr>
            <w:tcW w:type="dxa" w:w="5011"/>
            <w:vAlign w:val="center"/>
            <w:shd w:fill="F5FAFC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8" w:color="D8E7ED"/>
              <w:left w:val="single" w:sz="8" w:color="D8E7ED"/>
              <w:bottom w:val="single" w:sz="8" w:color="D8E7ED"/>
              <w:right w:val="single" w:sz="8" w:color="D8E7ED"/>
              <w:insideH w:val="single" w:sz="8" w:color="D8E7ED"/>
              <w:insideV w:val="single" w:sz="8" w:color="D8E7ED"/>
            </w:tcBorders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2880"/>
            </w:tblGrid>
            <w:tr>
              <w:tc>
                <w:tcPr>
                  <w:tcW w:type="dxa" w:w="1800"/>
                  <w:vAlign w:val="center"/>
                  <w:tcMar>
                    <w:top w:w="0" w:type="dxa"/>
                    <w:start w:w="30" w:type="dxa"/>
                    <w:bottom w:w="0" w:type="dxa"/>
                    <w:end w:w="30" w:type="dxa"/>
                  </w:tcMar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15568" cy="656558"/>
                        <wp:docPr id="5" name="Picture 5" descr="04  会回应脚步的森林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est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5568" cy="65655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880"/>
                  <w:vAlign w:val="center"/>
                  <w:tcMar>
                    <w:top w:w="0" w:type="dxa"/>
                    <w:start w:w="30" w:type="dxa"/>
                    <w:bottom w:w="0" w:type="dxa"/>
                    <w:end w:w="30" w:type="dxa"/>
                  </w:tcMar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Noto Sans CJK SC" w:hAnsi="Noto Sans CJK SC" w:eastAsia="Noto Sans CJK SC"/>
                      <w:b/>
                      <w:color w:val="153D5B"/>
                      <w:sz w:val="20"/>
                    </w:rPr>
                    <w:t>04  会回应脚步的森林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Noto Sans CJK SC" w:hAnsi="Noto Sans CJK SC" w:eastAsia="Noto Sans CJK SC"/>
                      <w:b w:val="0"/>
                      <w:color w:val="344E5C"/>
                      <w:sz w:val="16"/>
                    </w:rPr>
                    <w:t>栈道只在有人经过时点亮低位导向灯；根据人流、风雨和生态监测调整路线开放状态，AR讲解把探险变成自然观察。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Noto Sans CJK SC" w:hAnsi="Noto Sans CJK SC" w:eastAsia="Noto Sans CJK SC"/>
                      <w:b w:val="0"/>
                      <w:color w:val="5F7985"/>
                      <w:sz w:val="15"/>
                    </w:rPr>
                    <w:t>边界：不以强光覆盖整片森林；设置静默时段、承载量上限和快速撤离路线。</w:t>
                  </w:r>
                </w:p>
              </w:tc>
            </w:tr>
          </w:tbl>
          <w:p/>
        </w:tc>
      </w:tr>
    </w:tbl>
    <w:p>
      <w:pPr>
        <w:spacing w:before="100" w:after="40" w:line="240" w:lineRule="auto"/>
      </w:pPr>
      <w:r>
        <w:rPr>
          <w:rFonts w:ascii="Noto Sans CJK SC" w:hAnsi="Noto Sans CJK SC" w:eastAsia="Noto Sans CJK SC"/>
          <w:b/>
          <w:color w:val="153D5B"/>
          <w:sz w:val="22"/>
        </w:rPr>
        <w:t>05  湾域共感腕带：一个入口，联动所有场景</w:t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1879092"/>
            <wp:docPr id="6" name="Picture 6" descr="湾域共感系统结构示意：腕带联动预约分时、动态导览、紧急呼救和低碳积分，环境传感信息进入运营控制台用于分流、限流与预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y_sense_syste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87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</w:pPr>
      <w:r>
        <w:rPr>
          <w:rFonts w:ascii="Noto Sans CJK SC" w:hAnsi="Noto Sans CJK SC" w:eastAsia="Noto Sans CJK SC"/>
          <w:b/>
          <w:color w:val="153D5B"/>
          <w:sz w:val="17"/>
        </w:rPr>
        <w:t>关键原则：</w:t>
      </w:r>
      <w:r>
        <w:rPr>
          <w:rFonts w:ascii="Noto Sans CJK SC" w:hAnsi="Noto Sans CJK SC" w:eastAsia="Noto Sans CJK SC"/>
          <w:b w:val="0"/>
          <w:color w:val="344E5C"/>
          <w:sz w:val="17"/>
        </w:rPr>
        <w:t>腕带只保存必要的通行与求助凭证，用户自愿授权；系统默认不依赖人脸识别，不把个体数据用于无关画像。现场安全状态拥有最高优先级，可触发限流、暂停或疏散。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283"/>
            <w:shd w:fill="E5F1F5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45B75"/>
                <w:sz w:val="18"/>
              </w:rPr>
              <w:t>安全可验证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F6877"/>
                <w:sz w:val="14"/>
              </w:rPr>
              <w:t>设施状态、天气阈值、救援通道</w:t>
            </w:r>
          </w:p>
        </w:tc>
        <w:tc>
          <w:tcPr>
            <w:tcW w:type="dxa" w:w="3283"/>
            <w:shd w:fill="E6F4F1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3766D"/>
                <w:sz w:val="18"/>
              </w:rPr>
              <w:t>生态低扰动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F6877"/>
                <w:sz w:val="14"/>
              </w:rPr>
              <w:t>分区承载、暗夜照明、水质监测</w:t>
            </w:r>
          </w:p>
        </w:tc>
        <w:tc>
          <w:tcPr>
            <w:tcW w:type="dxa" w:w="3283"/>
            <w:shd w:fill="FFF1DD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8B5C1B"/>
                <w:sz w:val="18"/>
              </w:rPr>
              <w:t>能源有边界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F6877"/>
                <w:sz w:val="14"/>
              </w:rPr>
              <w:t>演出负荷分级、储能与错峰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49" w:right="936" w:bottom="749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4808E"/>
        <w:sz w:val="16"/>
      </w:rPr>
      <w:t>概念设计稿  ·  具体参数须经工程、生态与安全专项验证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4808E"/>
        <w:sz w:val="16"/>
      </w:rPr>
      <w:t>青岛胶州湾 · 百万立方世界 / 科技创新设计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Noto Sans CJK SC" w:hAnsi="Noto Sans CJK SC" w:eastAsia="Noto Sans CJK SC"/>
      <w:color w:val="24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青岛胶州湾·游憩板块科技创新设计</dc:title>
  <dc:subject>面向水下观景、水上运动、文化演出和森林探险的概念创新提案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