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7CA00">
      <w:pPr>
        <w:spacing w:before="960" w:after="20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87C80"/>
          <w:sz w:val="20"/>
        </w:rPr>
        <w:t>PROJECT DESIGN  /  PHASE II</w:t>
      </w:r>
    </w:p>
    <w:p w14:paraId="3E5075E3">
      <w:pPr>
        <w:spacing w:before="0" w:after="180" w:line="240" w:lineRule="auto"/>
      </w:pPr>
      <w:r>
        <w:rPr>
          <w:rFonts w:ascii="Noto Sans CJK SC" w:hAnsi="Noto Sans CJK SC" w:eastAsia="Noto Sans CJK SC"/>
          <w:b/>
          <w:i w:val="0"/>
          <w:color w:val="17364D"/>
          <w:sz w:val="60"/>
        </w:rPr>
        <w:t>游憩板块</w:t>
      </w:r>
      <w:r>
        <w:rPr>
          <w:rFonts w:ascii="Noto Sans CJK SC" w:hAnsi="Noto Sans CJK SC" w:eastAsia="Noto Sans CJK SC"/>
          <w:b/>
          <w:i w:val="0"/>
          <w:color w:val="17364D"/>
          <w:sz w:val="60"/>
        </w:rPr>
        <w:br w:type="textWrapping"/>
      </w:r>
      <w:r>
        <w:rPr>
          <w:rFonts w:ascii="Noto Sans CJK SC" w:hAnsi="Noto Sans CJK SC" w:eastAsia="Noto Sans CJK SC"/>
          <w:b/>
          <w:i w:val="0"/>
          <w:color w:val="17364D"/>
          <w:sz w:val="60"/>
        </w:rPr>
        <w:t>科技细节设计</w:t>
      </w:r>
    </w:p>
    <w:p w14:paraId="0F7B1C9E">
      <w:pPr>
        <w:spacing w:before="0" w:after="480" w:line="288" w:lineRule="auto"/>
      </w:pPr>
      <w:r>
        <w:rPr>
          <w:rFonts w:ascii="Noto Sans CJK SC" w:hAnsi="Noto Sans CJK SC" w:eastAsia="Noto Sans CJK SC"/>
          <w:b w:val="0"/>
          <w:i w:val="0"/>
          <w:color w:val="187C80"/>
          <w:sz w:val="26"/>
        </w:rPr>
        <w:t>重点产品 · 系统边界 · 空间与资源投入 · 概念草图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5B27105C">
        <w:tc>
          <w:tcPr>
            <w:tcW w:w="2721" w:type="dxa"/>
            <w:shd w:val="clear" w:color="auto" w:fill="17364D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055C9E8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陆地 70%</w:t>
            </w:r>
          </w:p>
        </w:tc>
        <w:tc>
          <w:tcPr>
            <w:tcW w:w="2721" w:type="dxa"/>
            <w:shd w:val="clear" w:color="auto" w:fill="187C80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8517F63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浮岛 30%</w:t>
            </w:r>
          </w:p>
        </w:tc>
        <w:tc>
          <w:tcPr>
            <w:tcW w:w="2721" w:type="dxa"/>
            <w:shd w:val="clear" w:color="auto" w:fill="D9824B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B497F74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2"/>
              </w:rPr>
              <w:t>水域独立核算</w:t>
            </w:r>
          </w:p>
        </w:tc>
      </w:tr>
    </w:tbl>
    <w:p w14:paraId="06019621">
      <w:pPr>
        <w:spacing w:before="560" w:after="2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4"/>
        </w:rPr>
        <w:t>项目定位：在青岛胶州湾建立陆地生活与大型设施为底座、模块化浮岛承接海上体验、数字系统统一管理的海湾游憩网络。</w:t>
      </w:r>
    </w:p>
    <w:p w14:paraId="58AA71B2">
      <w:pPr>
        <w:spacing w:before="0" w:after="2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2"/>
        </w:rPr>
        <w:t>设计原则：把游憩产品做成可维护、可分区、可暂停、可撤离的系统；“奇观效果”不得越过结构安全、海洋生态与资源供给边界。</w:t>
      </w:r>
    </w:p>
    <w:p w14:paraId="1124EF01">
      <w:pPr>
        <w:pStyle w:val="3"/>
        <w:keepNext/>
        <w:spacing w:before="240" w:after="120" w:line="252" w:lineRule="auto"/>
        <w:rPr>
          <w:rFonts w:ascii="Noto Sans CJK SC" w:hAnsi="Noto Sans CJK SC" w:eastAsia="Noto Sans CJK SC"/>
          <w:b/>
          <w:color w:val="17364D"/>
          <w:sz w:val="34"/>
        </w:rPr>
      </w:pPr>
    </w:p>
    <w:p w14:paraId="12508B50">
      <w:r>
        <w:drawing>
          <wp:inline distT="0" distB="0" distL="114300" distR="114300">
            <wp:extent cx="6294120" cy="4181475"/>
            <wp:effectExtent l="0" t="0" r="508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294120" cy="3895725"/>
            <wp:effectExtent l="0" t="0" r="5080" b="158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294120" cy="3522980"/>
            <wp:effectExtent l="0" t="0" r="5080" b="762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294120" cy="4160520"/>
            <wp:effectExtent l="0" t="0" r="5080" b="508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66A7">
      <w:pPr>
        <w:pStyle w:val="3"/>
        <w:keepNext/>
        <w:spacing w:before="240" w:after="120" w:line="252" w:lineRule="auto"/>
      </w:pPr>
      <w:r>
        <w:rPr>
          <w:rFonts w:ascii="Noto Sans CJK SC" w:hAnsi="Noto Sans CJK SC" w:eastAsia="Noto Sans CJK SC"/>
          <w:b/>
          <w:color w:val="17364D"/>
          <w:sz w:val="34"/>
        </w:rPr>
        <w:t>0 设计基准与估算口径</w:t>
      </w:r>
    </w:p>
    <w:p w14:paraId="4FFA1393">
      <w:pPr>
        <w:spacing w:after="20"/>
      </w:pP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本文件只深化上一份《科技总览》中提出的游憩内容：潜水、游泳、冲浪、水上快艇、水下世界、海洋公园、 水上乐园、捕鱼、蹦极、缆车、剧院/电影院/体育场多合一</w:t>
      </w:r>
      <w:bookmarkStart w:id="0" w:name="_GoBack"/>
      <w:bookmarkEnd w:id="0"/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、花车与人物巡游、灯光秀、水上音乐节、烟花秀及森林探险。能源、污水、通信、交通调度等共用系统只描述与这些场景直接相关的接口。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7FCC9A75">
        <w:trPr>
          <w:tblHeader/>
          <w:jc w:val="center"/>
        </w:trPr>
        <w:tc>
          <w:tcPr>
            <w:tcW w:w="170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D77A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核算项</w:t>
            </w:r>
          </w:p>
        </w:tc>
        <w:tc>
          <w:tcPr>
            <w:tcW w:w="2268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0AB8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基准假设</w:t>
            </w:r>
          </w:p>
        </w:tc>
        <w:tc>
          <w:tcPr>
            <w:tcW w:w="5386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6956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口径说明</w:t>
            </w:r>
          </w:p>
        </w:tc>
      </w:tr>
      <w:tr w14:paraId="0EAA93AD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B731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开发空间比例</w:t>
            </w:r>
          </w:p>
        </w:tc>
        <w:tc>
          <w:tcPr>
            <w:tcW w:w="226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D6A0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陆地约70%；浮岛建成面约30%</w:t>
            </w:r>
          </w:p>
        </w:tc>
        <w:tc>
          <w:tcPr>
            <w:tcW w:w="5386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C748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只计算已开发的陆上/浮岛功能面；自然海域、缓冲区和保护区单列。</w:t>
            </w:r>
          </w:p>
        </w:tc>
      </w:tr>
      <w:tr w14:paraId="4D75F584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9474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陆地游憩用地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5946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约110,000 m²</w:t>
            </w:r>
          </w:p>
        </w:tc>
        <w:tc>
          <w:tcPr>
            <w:tcW w:w="53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3F74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含森林体验、综合场馆、集散广场、游客服务与后勤。</w:t>
            </w:r>
          </w:p>
        </w:tc>
      </w:tr>
      <w:tr w14:paraId="1AA5D921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59F1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浮岛建成面</w:t>
            </w:r>
          </w:p>
        </w:tc>
        <w:tc>
          <w:tcPr>
            <w:tcW w:w="226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E10B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约45,000 m²</w:t>
            </w:r>
          </w:p>
        </w:tc>
        <w:tc>
          <w:tcPr>
            <w:tcW w:w="5386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059D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含浮动观景、接驳、表演、休憩、设备与疏散面。</w:t>
            </w:r>
          </w:p>
        </w:tc>
      </w:tr>
      <w:tr w14:paraId="769B0EE6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9CB1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活动水域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AD14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约250,000—350,000 m²</w:t>
            </w:r>
          </w:p>
        </w:tc>
        <w:tc>
          <w:tcPr>
            <w:tcW w:w="53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62E8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游泳、潜水、快艇、捕鱼/观测与缓冲水域；须避让航道与生态敏感区。</w:t>
            </w:r>
          </w:p>
        </w:tc>
      </w:tr>
      <w:tr w14:paraId="237D87EE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C556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供能估算</w:t>
            </w:r>
          </w:p>
        </w:tc>
        <w:tc>
          <w:tcPr>
            <w:tcW w:w="226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F5A4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游憩系统峰值约4—8 MW</w:t>
            </w:r>
          </w:p>
        </w:tc>
        <w:tc>
          <w:tcPr>
            <w:tcW w:w="5386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8FC7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按场景错峰和同时系数估算；活动日与普通日负荷差别很大。</w:t>
            </w:r>
          </w:p>
        </w:tc>
      </w:tr>
      <w:tr w14:paraId="59908898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CBEB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用水估算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021C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约150—350 m³/日</w:t>
            </w:r>
          </w:p>
        </w:tc>
        <w:tc>
          <w:tcPr>
            <w:tcW w:w="53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0BCA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8"/>
              </w:rPr>
              <w:t>包括游客服务、淋浴、清洁、补水及局部灌溉；不含初次注水与全世界生活用水。</w:t>
            </w:r>
          </w:p>
        </w:tc>
      </w:tr>
    </w:tbl>
    <w:p w14:paraId="526485BB">
      <w:pPr>
        <w:spacing w:after="20"/>
      </w:pPr>
    </w:p>
    <w:p w14:paraId="3948C8E0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0.1 先明确什么可以建在浮岛上</w:t>
      </w:r>
    </w:p>
    <w:p w14:paraId="5374BB98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普通浮台适合低动态荷载的观景、休憩、接驳与小型演出，不应把它默认成蹦极塔、缆车主承力塔、重型综合场馆或大型造波设备的基础。高冲击、高振动和大人群集中荷载设施优先落在经勘察的陆地/固定桩基平台；海上设施须单独校核浮力、稳性、系泊、波浪、风、疲劳、碰撞和逃生。浮体尺寸、数量与重量在取得海床和风浪参数前不做“精确吨位”承诺。[1][2]</w:t>
      </w:r>
    </w:p>
    <w:p w14:paraId="22423EF1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0.2 游憩场景面积总表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79"/>
        <w:gridCol w:w="2479"/>
        <w:gridCol w:w="2479"/>
      </w:tblGrid>
      <w:tr w14:paraId="31321CBA">
        <w:trPr>
          <w:tblHeader/>
          <w:jc w:val="center"/>
        </w:trPr>
        <w:tc>
          <w:tcPr>
            <w:tcW w:w="170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FD43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区域</w:t>
            </w:r>
          </w:p>
        </w:tc>
        <w:tc>
          <w:tcPr>
            <w:tcW w:w="2948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BE6F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场地/建筑规模（概念）</w:t>
            </w:r>
          </w:p>
        </w:tc>
        <w:tc>
          <w:tcPr>
            <w:tcW w:w="289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5FC1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其中水域/特殊尺度</w:t>
            </w:r>
          </w:p>
        </w:tc>
        <w:tc>
          <w:tcPr>
            <w:tcW w:w="1814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56D6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定位</w:t>
            </w:r>
          </w:p>
        </w:tc>
      </w:tr>
      <w:tr w14:paraId="1A4CFFFD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232F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海下第二世界</w:t>
            </w:r>
          </w:p>
        </w:tc>
        <w:tc>
          <w:tcPr>
            <w:tcW w:w="294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32AB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游客中心及潜水支持区约7,000—10,000 m²；观景设施建筑面积约1,000—2,000 m²</w:t>
            </w:r>
          </w:p>
        </w:tc>
        <w:tc>
          <w:tcPr>
            <w:tcW w:w="289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74A9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潜水/浮潜区约20,000—40,000 m²；观测与生态缓冲区另划</w:t>
            </w:r>
          </w:p>
        </w:tc>
        <w:tc>
          <w:tcPr>
            <w:tcW w:w="1814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18AC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以真实海湾观察、科普、有限潜水为主。</w:t>
            </w:r>
          </w:p>
        </w:tc>
      </w:tr>
      <w:tr w14:paraId="6C28DDBC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D792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海湾运动冒险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A703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运动支持、装备、医疗与室内外水上乐园约15,000—25,000 m²；蹦极基座约800—1,500 m²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77D8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游泳约50,000 m²；快艇航道约80,000—100,000 m²；其余为潜水和缓冲水域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4E3F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按低、中、高风险分级，并设置独立水域。</w:t>
            </w:r>
          </w:p>
        </w:tc>
      </w:tr>
      <w:tr w14:paraId="2B0EFCCB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A66E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海湾巨幕文化</w:t>
            </w:r>
          </w:p>
        </w:tc>
        <w:tc>
          <w:tcPr>
            <w:tcW w:w="294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FE8B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综合场馆用地约18,000 m²；可转换建筑总建筑面积约22,000—30,000 m²；户外广场约12,000—18,000 m²</w:t>
            </w:r>
          </w:p>
        </w:tc>
        <w:tc>
          <w:tcPr>
            <w:tcW w:w="289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8D6F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浮动小舞台约4,000—6,000 m²；观演水域与疏散通道另计</w:t>
            </w:r>
          </w:p>
        </w:tc>
        <w:tc>
          <w:tcPr>
            <w:tcW w:w="1814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2333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大型观众和设备放陆上，浮岛负责临水表演。</w:t>
            </w:r>
          </w:p>
        </w:tc>
      </w:tr>
      <w:tr w14:paraId="0000F06C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2132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云林探索带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8797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森林景观与探索区约40,000—50,000 m²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30CE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步道约2.5—4 km；树冠栈道约300—600 m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750F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建设“原生风貌森林”，用低扰动方式体验，不虚称天然原始森林。</w:t>
            </w:r>
          </w:p>
        </w:tc>
      </w:tr>
    </w:tbl>
    <w:p w14:paraId="5B995909">
      <w:pPr>
        <w:spacing w:after="20"/>
      </w:pPr>
    </w:p>
    <w:p w14:paraId="2FA032DD">
      <w:pPr>
        <w:pStyle w:val="3"/>
        <w:keepNext/>
        <w:spacing w:before="240" w:after="120" w:line="252" w:lineRule="auto"/>
      </w:pPr>
      <w:r>
        <w:rPr>
          <w:rFonts w:ascii="Noto Sans CJK SC" w:hAnsi="Noto Sans CJK SC" w:eastAsia="Noto Sans CJK SC"/>
          <w:b/>
          <w:color w:val="17364D"/>
          <w:sz w:val="34"/>
        </w:rPr>
        <w:t>1 海下第二世界：把“看见海”作为核心产品</w:t>
      </w:r>
    </w:p>
    <w:p w14:paraId="3ECE0C1A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主张不是复制一座大型封闭水族馆，而是让游客在同一条体验线上经历海湾认知、浅水体验、潜水探索与水下观察。由于胶州湾水深、能见度、水质、沉积环境及生态状况存在空间差异，水下观景廊须作为勘察后再决定的中长期设施；一期可以先用岸上展示厅、潜水训练水池和水下摄像网络建立体验。青岛市公开资料强调胶州湾年度生态本底调查包含海水、沉积物、海洋生物、湿地鸟类及灾害风险等多类指标，这些数据应先于最终落位方案使用。[3]</w:t>
      </w:r>
    </w:p>
    <w:p w14:paraId="26EB6C84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1.1 重点产品与功能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539298B2">
        <w:trPr>
          <w:tblHeader/>
          <w:jc w:val="center"/>
        </w:trPr>
        <w:tc>
          <w:tcPr>
            <w:tcW w:w="170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B1FE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产品</w:t>
            </w:r>
          </w:p>
        </w:tc>
        <w:tc>
          <w:tcPr>
            <w:tcW w:w="4139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8AEF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功能设计</w:t>
            </w:r>
          </w:p>
        </w:tc>
        <w:tc>
          <w:tcPr>
            <w:tcW w:w="3402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0AD3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游客流程与接口</w:t>
            </w:r>
          </w:p>
        </w:tc>
      </w:tr>
      <w:tr w14:paraId="5D911CB5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B9F5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近岸水下观景廊 / 观察舱</w:t>
            </w:r>
          </w:p>
        </w:tc>
        <w:tc>
          <w:tcPr>
            <w:tcW w:w="413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08EC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半下沉式空间、局部耐压透明窗、实时水下摄像、海湾物种信息、可关闭的观察窗/分区。</w:t>
            </w:r>
          </w:p>
        </w:tc>
        <w:tc>
          <w:tcPr>
            <w:tcW w:w="340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5016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陆上检票与科普 → 观景廊 → 观察点 → 单向返回；另有独立检修门和备用照明。</w:t>
            </w:r>
          </w:p>
        </w:tc>
      </w:tr>
      <w:tr w14:paraId="5239B38B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BD4D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潜水与浮潜中心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12BC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初学者训练、装备租借、潜伴检查、深度/时间登记、潜水员定位、救援氧气和冲洗烘干。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D6C5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训练区与开放水域分开；潜水员按批次出入水，船舶不得穿越潜水作业区。</w:t>
            </w:r>
          </w:p>
        </w:tc>
      </w:tr>
      <w:tr w14:paraId="3B4EE8C5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384F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海洋公园 / 生态科普</w:t>
            </w:r>
          </w:p>
        </w:tc>
        <w:tc>
          <w:tcPr>
            <w:tcW w:w="413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7C78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不以大规模圈养野生动物为主；设置海草/底栖生物展示、生态监测屏、海洋牧场观察路线。</w:t>
            </w:r>
          </w:p>
        </w:tc>
        <w:tc>
          <w:tcPr>
            <w:tcW w:w="340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6B42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通过线上预约控制参观密度；生态静默区不安排扩音、投喂或强光节目。</w:t>
            </w:r>
          </w:p>
        </w:tc>
      </w:tr>
      <w:tr w14:paraId="311F2E4D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EEC9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受控捕鱼体验</w:t>
            </w:r>
          </w:p>
        </w:tc>
        <w:tc>
          <w:tcPr>
            <w:tcW w:w="413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DA96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预约制钓鱼/捕鱼体验，限定季节、区域、物种和数量；配置渔具回收、防缠绕和渔获记录。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591F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捕捞活动与潜水、游泳区分开；不把野生海湾当作无限量的日常食物供给。</w:t>
            </w:r>
          </w:p>
        </w:tc>
      </w:tr>
      <w:tr w14:paraId="34925A51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85C0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游泳 / 浅水戏水</w:t>
            </w:r>
          </w:p>
        </w:tc>
        <w:tc>
          <w:tcPr>
            <w:tcW w:w="413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FFE4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自然海域仅在水质与现场条件适宜时开放；设置分级水深、救生站、浮标围界和每日开放公告。</w:t>
            </w:r>
          </w:p>
        </w:tc>
        <w:tc>
          <w:tcPr>
            <w:tcW w:w="340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F3A4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水质异常、流速/浪况不适或救援力量不足时关闭；不与快艇航道共用水面。</w:t>
            </w:r>
          </w:p>
        </w:tc>
      </w:tr>
    </w:tbl>
    <w:p w14:paraId="5BE3A050">
      <w:pPr>
        <w:spacing w:after="20"/>
      </w:pPr>
    </w:p>
    <w:p w14:paraId="54DEAD4F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1.2 系统边界与运行机制</w:t>
      </w:r>
    </w:p>
    <w:p w14:paraId="507152C0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水下观景工程边界：结构、防水、观察窗、通风、疏散、设备检修属于同一系统。不得将水下空间设计成只有单一入口、无法在停电或进水时撤离的“封闭盒子”。</w:t>
      </w:r>
    </w:p>
    <w:p w14:paraId="5791D415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自然海水与人工循环水分开：天然海域用于经许可的观察、潜水或游泳；水上乐园、训练池和封闭水生展示池分别配置过滤、消毒、补水和排水系统。人工泳池的水质监测应按适用卫生标准执行。[4][5]</w:t>
      </w:r>
    </w:p>
    <w:p w14:paraId="5BD69BF5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能见度联动：监测浊度、温度、溶解氧、盐度等指标；低能见度时停止潜水导览或改为水下影像模式，而不是用更强灯光照亮整个海床。</w:t>
      </w:r>
    </w:p>
    <w:p w14:paraId="698B0645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游客边界：潜水、游泳、捕鱼和船舶活动划定不同区域，并以浮标、电子地图、声光提示和巡逻共同执行。数字地图不能代替实体隔离。</w:t>
      </w:r>
    </w:p>
    <w:p w14:paraId="26540FCA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1.3 空间、能源与物资投入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3BBDCE0A">
        <w:trPr>
          <w:tblHeader/>
          <w:jc w:val="center"/>
        </w:trPr>
        <w:tc>
          <w:tcPr>
            <w:tcW w:w="153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20F7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投入项</w:t>
            </w:r>
          </w:p>
        </w:tc>
        <w:tc>
          <w:tcPr>
            <w:tcW w:w="289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C036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概念量级</w:t>
            </w:r>
          </w:p>
        </w:tc>
        <w:tc>
          <w:tcPr>
            <w:tcW w:w="4762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5D56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主要构成与说明</w:t>
            </w:r>
          </w:p>
        </w:tc>
      </w:tr>
      <w:tr w14:paraId="6FEBFA17">
        <w:trPr>
          <w:jc w:val="center"/>
        </w:trPr>
        <w:tc>
          <w:tcPr>
            <w:tcW w:w="153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2774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空间</w:t>
            </w:r>
          </w:p>
        </w:tc>
        <w:tc>
          <w:tcPr>
            <w:tcW w:w="289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7F02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游客中心/潜水后勤约7,000—10,000 m²；观景设施约1,000—2,000 m²；潜水水域20,000—40,000 m²</w:t>
            </w:r>
          </w:p>
        </w:tc>
        <w:tc>
          <w:tcPr>
            <w:tcW w:w="476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4D8B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含更衣淋浴、医疗/氧气、装备库、设备间、游客动线；观景舱属于专项结构。</w:t>
            </w:r>
          </w:p>
        </w:tc>
      </w:tr>
      <w:tr w14:paraId="39F883AC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11DA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电力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D46C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峰值约0.4—0.8 MW；开放日约4—8 MWh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4DC4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循环水泵、空气处理、除湿、照明、影像系统、压缩/充气设备、监测与备用照明。</w:t>
            </w:r>
          </w:p>
        </w:tc>
      </w:tr>
      <w:tr w14:paraId="5865F787">
        <w:trPr>
          <w:jc w:val="center"/>
        </w:trPr>
        <w:tc>
          <w:tcPr>
            <w:tcW w:w="153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688B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水</w:t>
            </w:r>
          </w:p>
        </w:tc>
        <w:tc>
          <w:tcPr>
            <w:tcW w:w="289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CEF9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人工展示/训练水池初次蓄水约1,500—3,000 m³；相关用水约30—80 m³/日</w:t>
            </w:r>
          </w:p>
        </w:tc>
        <w:tc>
          <w:tcPr>
            <w:tcW w:w="476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CAD5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初次蓄水不等于每日消耗；日常用水包含淋浴、清洗、补水和少量反冲洗水。</w:t>
            </w:r>
          </w:p>
        </w:tc>
      </w:tr>
      <w:tr w14:paraId="7E17797F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C24A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主要物资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C247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耐海水腐蚀结构件、耐压透明窗、泵阀、过滤消毒设备、传感器、潜水装备、救援氧气、回收渔具</w:t>
            </w:r>
          </w:p>
        </w:tc>
        <w:tc>
          <w:tcPr>
            <w:tcW w:w="47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CB20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观察窗与水下承压结构需按实际水深、波浪、冲击与疲劳专项计算；不得按普通建筑玻璃采购。</w:t>
            </w:r>
          </w:p>
        </w:tc>
      </w:tr>
      <w:tr w14:paraId="498D2FC5">
        <w:trPr>
          <w:jc w:val="center"/>
        </w:trPr>
        <w:tc>
          <w:tcPr>
            <w:tcW w:w="153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DA9D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运行耗材</w:t>
            </w:r>
          </w:p>
        </w:tc>
        <w:tc>
          <w:tcPr>
            <w:tcW w:w="289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8DD9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过滤材料、消毒药剂、潜水气瓶检验与充装、救生衣、采样瓶、渔具回收耗材</w:t>
            </w:r>
          </w:p>
        </w:tc>
        <w:tc>
          <w:tcPr>
            <w:tcW w:w="476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5800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建立批次追踪、校验和报废周期；设置应急库存和设备停用规则。</w:t>
            </w:r>
          </w:p>
        </w:tc>
      </w:tr>
    </w:tbl>
    <w:p w14:paraId="69BD83B2">
      <w:pPr>
        <w:spacing w:after="20"/>
      </w:pPr>
    </w:p>
    <w:p w14:paraId="6BBA98A9">
      <w:pPr>
        <w:spacing w:before="40" w:after="40" w:line="240" w:lineRule="auto"/>
        <w:jc w:val="center"/>
      </w:pPr>
      <w:r>
        <w:drawing>
          <wp:inline distT="0" distB="0" distL="114300" distR="114300">
            <wp:extent cx="5943600" cy="32404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F840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5747D"/>
          <w:sz w:val="17"/>
        </w:rPr>
        <w:t>概念草图说明：建议一期采用近岸可检修观察舱或“岸上展厅＋水下实时影像”，经海床、能见度、结构和疏散论证后再建设全水下空间。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0220CC4B">
        <w:trPr>
          <w:jc w:val="center"/>
        </w:trPr>
        <w:tc>
          <w:tcPr>
            <w:tcW w:w="9916" w:type="dxa"/>
            <w:shd w:val="clear" w:color="auto" w:fill="FBEBC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35764C0"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4D"/>
                <w:sz w:val="21"/>
              </w:rPr>
              <w:t>本场景的停运条件</w:t>
            </w:r>
          </w:p>
          <w:p w14:paraId="01732A06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9"/>
              </w:rPr>
              <w:t>发生水质异常、结构/舱压监测报警、通风或备用照明不可用、潜水员失联、救援资源不足时，暂停相应活动。生态观测优先级高于游客打卡；捕鱼不得进入潜水/观景保护区。</w:t>
            </w:r>
          </w:p>
        </w:tc>
      </w:tr>
    </w:tbl>
    <w:p w14:paraId="572F27AE">
      <w:pPr>
        <w:spacing w:after="20"/>
      </w:pPr>
    </w:p>
    <w:p w14:paraId="1A4748AB">
      <w:pPr>
        <w:pStyle w:val="3"/>
        <w:keepNext/>
        <w:spacing w:before="240" w:after="120" w:line="252" w:lineRule="auto"/>
      </w:pPr>
      <w:r>
        <w:rPr>
          <w:rFonts w:ascii="Noto Sans CJK SC" w:hAnsi="Noto Sans CJK SC" w:eastAsia="Noto Sans CJK SC"/>
          <w:b/>
          <w:color w:val="17364D"/>
          <w:sz w:val="34"/>
        </w:rPr>
        <w:t>2 海湾运动冒险：按风险等级布置设施</w:t>
      </w:r>
    </w:p>
    <w:p w14:paraId="31AA4A96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这一板块要让体验从“轻松亲水”逐步过渡到“专业运动与高刺激项目”，而不是将所有设备堆在同一片浮岛上。最重要的设计是水域分隔、设备联锁和撤离路径。对胶州湾而言，潮位、风浪、流速、船舶交通和水下地形必须转化成实时运营规则。</w:t>
      </w:r>
    </w:p>
    <w:p w14:paraId="720AFB42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2.1 六类重点产品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2699A14B">
        <w:trPr>
          <w:tblHeader/>
          <w:jc w:val="center"/>
        </w:trPr>
        <w:tc>
          <w:tcPr>
            <w:tcW w:w="136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5057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产品</w:t>
            </w:r>
          </w:p>
        </w:tc>
        <w:tc>
          <w:tcPr>
            <w:tcW w:w="4082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1CDA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重点功能</w:t>
            </w:r>
          </w:p>
        </w:tc>
        <w:tc>
          <w:tcPr>
            <w:tcW w:w="3742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0358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推荐落位/边界</w:t>
            </w:r>
          </w:p>
        </w:tc>
      </w:tr>
      <w:tr w14:paraId="559E7385">
        <w:trPr>
          <w:jc w:val="center"/>
        </w:trPr>
        <w:tc>
          <w:tcPr>
            <w:tcW w:w="136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55B0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游泳</w:t>
            </w:r>
          </w:p>
        </w:tc>
        <w:tc>
          <w:tcPr>
            <w:tcW w:w="408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F1F2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近岸分级水深、浅水亲子区、救生塔、浮标围界、水质显示牌。</w:t>
            </w:r>
          </w:p>
        </w:tc>
        <w:tc>
          <w:tcPr>
            <w:tcW w:w="374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9927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指定天然游泳区；独立于潜水和快艇区；不满足开放条件时自动转为岸边活动。</w:t>
            </w:r>
          </w:p>
        </w:tc>
      </w:tr>
      <w:tr w14:paraId="48E3B16C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B490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冲浪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FB47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优先选择适宜自然浪况的专门水域；如采用人工造浪，放在陆上或固定基础的封闭浪池。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D172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造浪机不直接装在普通浮岛上；浪池循环泵、浪型控制与急停系统独立。</w:t>
            </w:r>
          </w:p>
        </w:tc>
      </w:tr>
      <w:tr w14:paraId="34E6E82E">
        <w:trPr>
          <w:jc w:val="center"/>
        </w:trPr>
        <w:tc>
          <w:tcPr>
            <w:tcW w:w="136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BEE7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水上快艇</w:t>
            </w:r>
          </w:p>
        </w:tc>
        <w:tc>
          <w:tcPr>
            <w:tcW w:w="408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4213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优先电动/低噪声船型、限速航线、预约发船、船位追踪和岸上充电。</w:t>
            </w:r>
          </w:p>
        </w:tc>
        <w:tc>
          <w:tcPr>
            <w:tcW w:w="374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44A9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单向航道，远离潜水、游泳、捕鱼与生态静默区；设观察船和故障回收点。</w:t>
            </w:r>
          </w:p>
        </w:tc>
      </w:tr>
      <w:tr w14:paraId="1447CDEF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BE8F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水上乐园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4359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滑道、亲子水区、喷泉、浅水互动装置；池水独立循环、过滤与消毒。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B94F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优先岸上或固定平台；儿童区与深水区物理分隔，设置救生、急救和防滑排水。</w:t>
            </w:r>
          </w:p>
        </w:tc>
      </w:tr>
      <w:tr w14:paraId="07D6A6CB">
        <w:trPr>
          <w:jc w:val="center"/>
        </w:trPr>
        <w:tc>
          <w:tcPr>
            <w:tcW w:w="136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BEB9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蹦极</w:t>
            </w:r>
          </w:p>
        </w:tc>
        <w:tc>
          <w:tcPr>
            <w:tcW w:w="408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BBB5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固定塔、双重连接、载荷记录、风速监测、预约分批、救援下降装置。</w:t>
            </w:r>
          </w:p>
        </w:tc>
        <w:tc>
          <w:tcPr>
            <w:tcW w:w="374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BB1F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塔体和主承力基础落在经勘察的陆地或固定桩基，不锚定普通浮台；下方净空区永久禁入。</w:t>
            </w:r>
          </w:p>
        </w:tc>
      </w:tr>
      <w:tr w14:paraId="4A97ABD8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0A4A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缆车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871C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陆地高点—指定固定终点的观景交通；可兼作低速跨景观路线。</w:t>
            </w:r>
          </w:p>
        </w:tc>
        <w:tc>
          <w:tcPr>
            <w:tcW w:w="3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6D9B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终点站不能依赖随浪运动的普通浮台；需独立塔架/固定平台、停电救援和备用交通。</w:t>
            </w:r>
          </w:p>
        </w:tc>
      </w:tr>
    </w:tbl>
    <w:p w14:paraId="5C1EEFD3">
      <w:pPr>
        <w:spacing w:after="20"/>
      </w:pPr>
    </w:p>
    <w:p w14:paraId="65F39036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2.2 设计尺寸与运行参数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04FF4238">
        <w:trPr>
          <w:tblHeader/>
          <w:jc w:val="center"/>
        </w:trPr>
        <w:tc>
          <w:tcPr>
            <w:tcW w:w="1587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C3CC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设施</w:t>
            </w:r>
          </w:p>
        </w:tc>
        <w:tc>
          <w:tcPr>
            <w:tcW w:w="3005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8EA0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推荐概念尺度</w:t>
            </w:r>
          </w:p>
        </w:tc>
        <w:tc>
          <w:tcPr>
            <w:tcW w:w="4649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831D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重点技术与运行规则</w:t>
            </w:r>
          </w:p>
        </w:tc>
      </w:tr>
      <w:tr w14:paraId="3AAFEB49">
        <w:trPr>
          <w:jc w:val="center"/>
        </w:trPr>
        <w:tc>
          <w:tcPr>
            <w:tcW w:w="158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AD50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自然游泳区</w:t>
            </w:r>
          </w:p>
        </w:tc>
        <w:tc>
          <w:tcPr>
            <w:tcW w:w="300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FB42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约50,000 m²；设置浅水/常规水深分区</w:t>
            </w:r>
          </w:p>
        </w:tc>
        <w:tc>
          <w:tcPr>
            <w:tcW w:w="464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2FC6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按实测水深、流速和水质划界；外围浮标与巡逻线；高风浪/低能见度/水质异常关闭。</w:t>
            </w:r>
          </w:p>
        </w:tc>
      </w:tr>
      <w:tr w14:paraId="414DA3D2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8D32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浮潜/潜水区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19E4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约20,000—40,000 m²（与海下场景共用但需分区）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6E4F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潜点、入水点、回收点、潜水船停靠点分开；潜水员定位与伴随检查。</w:t>
            </w:r>
          </w:p>
        </w:tc>
      </w:tr>
      <w:tr w14:paraId="4003C7DD">
        <w:trPr>
          <w:jc w:val="center"/>
        </w:trPr>
        <w:tc>
          <w:tcPr>
            <w:tcW w:w="158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6B91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电动快艇航道</w:t>
            </w:r>
          </w:p>
        </w:tc>
        <w:tc>
          <w:tcPr>
            <w:tcW w:w="300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A3E7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约80,000—100,000 m²水域管理范围</w:t>
            </w:r>
          </w:p>
        </w:tc>
        <w:tc>
          <w:tcPr>
            <w:tcW w:w="464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03E3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单向航线，设置限速、转向和故障应急区；充电泊位与乘客候船区分开。</w:t>
            </w:r>
          </w:p>
        </w:tc>
      </w:tr>
      <w:tr w14:paraId="5F0CCD0E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1265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造浪设施/浪池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C2B9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水面约3,000—5,000 m²；平均水深和波型需另行定义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DD56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概念装机约1.0—2.0 MW；泵组分级启动，储能与电网调峰；结构振动不得传递给浮岛。</w:t>
            </w:r>
          </w:p>
        </w:tc>
      </w:tr>
      <w:tr w14:paraId="318A0396">
        <w:trPr>
          <w:jc w:val="center"/>
        </w:trPr>
        <w:tc>
          <w:tcPr>
            <w:tcW w:w="158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845C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水上乐园</w:t>
            </w:r>
          </w:p>
        </w:tc>
        <w:tc>
          <w:tcPr>
            <w:tcW w:w="300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905C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占地约8,000—12,000 m²，含设备与服务区域</w:t>
            </w:r>
          </w:p>
        </w:tc>
        <w:tc>
          <w:tcPr>
            <w:tcW w:w="464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2A22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概念装机约0.3—0.8 MW；池水循环、消毒、补水、排水和事故停机自成闭环。</w:t>
            </w:r>
          </w:p>
        </w:tc>
      </w:tr>
      <w:tr w14:paraId="3285EA88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8B65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蹦极设施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F251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塔基及运行控制区约800—1,500 m²；塔高约45—60 m作为方案讨论尺度</w:t>
            </w:r>
          </w:p>
        </w:tc>
        <w:tc>
          <w:tcPr>
            <w:tcW w:w="464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2C8A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高度、摆动包络、落区净空、索具、风速阈值、救援方式均须专项设计，不能由本概念图定尺寸。</w:t>
            </w:r>
          </w:p>
        </w:tc>
      </w:tr>
      <w:tr w14:paraId="711BEB65">
        <w:trPr>
          <w:jc w:val="center"/>
        </w:trPr>
        <w:tc>
          <w:tcPr>
            <w:tcW w:w="158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0457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缆车线路</w:t>
            </w:r>
          </w:p>
        </w:tc>
        <w:tc>
          <w:tcPr>
            <w:tcW w:w="300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3397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约0.8—1.5 km的示范线路</w:t>
            </w:r>
          </w:p>
        </w:tc>
        <w:tc>
          <w:tcPr>
            <w:tcW w:w="464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7BB6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塔距、风荷载、海雾/盐雾、制动冗余、停电救援和运行风速阈值需由设备商与结构专业确定。</w:t>
            </w:r>
          </w:p>
        </w:tc>
      </w:tr>
    </w:tbl>
    <w:p w14:paraId="0B1BD377">
      <w:pPr>
        <w:spacing w:after="20"/>
      </w:pPr>
    </w:p>
    <w:p w14:paraId="0F6C451A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2.3 水域与控制系统边界</w:t>
      </w:r>
    </w:p>
    <w:p w14:paraId="658ECFA4">
      <w:pPr>
        <w:spacing w:before="0" w:after="100" w:line="300" w:lineRule="auto"/>
      </w:pPr>
      <w:r>
        <w:rPr>
          <w:rFonts w:ascii="Noto Sans CJK SC" w:hAnsi="Noto Sans CJK SC" w:eastAsia="Noto Sans CJK SC"/>
          <w:b/>
          <w:i w:val="0"/>
          <w:color w:val="24343E"/>
          <w:sz w:val="21"/>
        </w:rPr>
        <w:t>本板块的统一控制台</w:t>
      </w: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应具备“准入—监测—限流—停运—撤离”五项能力。预约系统负责人数，传感系统负责天气和结构状态，现场人员负责核验与救援，三者缺一不可。</w:t>
      </w:r>
    </w:p>
    <w:p w14:paraId="73DD2D98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物理分隔：游泳、潜水、快艇和捕鱼至少用不同区域、浮标边界、码头和路线分离；活动之间留出不被其他项目穿越的缓冲水域。</w:t>
      </w:r>
    </w:p>
    <w:p w14:paraId="6D21E71D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设备联锁：风速、波高、潮位、系泊位移、充电系统温度、造浪泵状态达到专项阈值时，系统发出警报并停止对应设备；阈值由勘察、制造商和安全评估确定，不在概念阶段随意设定。</w:t>
      </w:r>
    </w:p>
    <w:p w14:paraId="015F9AA2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应急链路：救援艇、救生员、医务/氧气点、岸上调度和通信全程覆盖；每个浮岛至少有两条可执行的离开/撤离思路，其中一条不能依赖正在发生故障的设备。</w:t>
      </w:r>
    </w:p>
    <w:p w14:paraId="77045560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盐雾与维护：运动设备、钢索、连接件和充电插头采用适合海洋环境的防腐方案；重点连接部位可目检、可拆换、可记录疲劳状态。</w:t>
      </w:r>
    </w:p>
    <w:p w14:paraId="02F3B50D">
      <w:pPr>
        <w:spacing w:before="40" w:after="40" w:line="240" w:lineRule="auto"/>
        <w:jc w:val="center"/>
      </w:pPr>
      <w:r>
        <w:drawing>
          <wp:inline distT="0" distB="0" distL="114300" distR="114300">
            <wp:extent cx="5897880" cy="3334385"/>
            <wp:effectExtent l="0" t="0" r="2032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8242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5747D"/>
          <w:sz w:val="17"/>
        </w:rPr>
        <w:t>概念草图说明：所有水面活动通过“分区＋实体浮标＋预约限流＋救援路线”形成边界，电子围栏只是补充。</w:t>
      </w:r>
    </w:p>
    <w:p w14:paraId="161C0598">
      <w:pPr>
        <w:spacing w:before="40" w:after="40" w:line="240" w:lineRule="auto"/>
        <w:jc w:val="center"/>
      </w:pPr>
      <w:r>
        <w:drawing>
          <wp:inline distT="0" distB="0" distL="114300" distR="114300">
            <wp:extent cx="5897880" cy="3215640"/>
            <wp:effectExtent l="0" t="0" r="203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C3BA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5747D"/>
          <w:sz w:val="17"/>
        </w:rPr>
        <w:t>概念草图说明：蹦极和缆车属于高风险、集中荷载设施，应以固定基础、冗余保护和独立救援方案为前提。</w:t>
      </w:r>
    </w:p>
    <w:p w14:paraId="17BE9B41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2.4 空间、能源、用水与装备投入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59FD668E">
        <w:trPr>
          <w:tblHeader/>
          <w:jc w:val="center"/>
        </w:trPr>
        <w:tc>
          <w:tcPr>
            <w:tcW w:w="1417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2866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投入项</w:t>
            </w:r>
          </w:p>
        </w:tc>
        <w:tc>
          <w:tcPr>
            <w:tcW w:w="289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9164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概念量级</w:t>
            </w:r>
          </w:p>
        </w:tc>
        <w:tc>
          <w:tcPr>
            <w:tcW w:w="4819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3FF2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主要物资/说明</w:t>
            </w:r>
          </w:p>
        </w:tc>
      </w:tr>
      <w:tr w14:paraId="6CA726B5">
        <w:trPr>
          <w:jc w:val="center"/>
        </w:trPr>
        <w:tc>
          <w:tcPr>
            <w:tcW w:w="141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B610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空间</w:t>
            </w:r>
          </w:p>
        </w:tc>
        <w:tc>
          <w:tcPr>
            <w:tcW w:w="289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1BCE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运动支持区约15,000—25,000 m²；水域管理范围约150,000—220,000 m²（含共享水域）</w:t>
            </w:r>
          </w:p>
        </w:tc>
        <w:tc>
          <w:tcPr>
            <w:tcW w:w="481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8C2B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包括装备租借、淋浴、更衣、救援、检修、充电、候船、排队与疏散；水域不能等同于可铺设施面积。</w:t>
            </w:r>
          </w:p>
        </w:tc>
      </w:tr>
      <w:tr w14:paraId="1D06EAD3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D7B0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电力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0E0C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峰值约1.5—3.0 MW；活动日约10—20 MWh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5513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造浪泵、池水循环、快艇充电、缆车驱动、设备照明与场景控制；应按时段削峰。</w:t>
            </w:r>
          </w:p>
        </w:tc>
      </w:tr>
      <w:tr w14:paraId="1E0B5A51">
        <w:trPr>
          <w:jc w:val="center"/>
        </w:trPr>
        <w:tc>
          <w:tcPr>
            <w:tcW w:w="141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C995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水</w:t>
            </w:r>
          </w:p>
        </w:tc>
        <w:tc>
          <w:tcPr>
            <w:tcW w:w="289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F0D1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浪池/水上乐园初次蓄水约3,000—6,000 m³；日补水另计</w:t>
            </w:r>
          </w:p>
        </w:tc>
        <w:tc>
          <w:tcPr>
            <w:tcW w:w="481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F9C9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初次蓄水视池形和平均水深而变化；实际每日补水取决于蒸发、溅失、反冲洗和维护制度。</w:t>
            </w:r>
          </w:p>
        </w:tc>
      </w:tr>
      <w:tr w14:paraId="46ECB3AF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0A3C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机电物资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814A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造浪机组、泵/滤/消毒系统、电动快艇及充电桩、定位设备、救援艇、缆车塔架与索具、蹦极主索与备份系统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7834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高风险设备应采用可追溯的合格产品，备件、定期检验、报废周期与事故记录作为运营系统的一部分。</w:t>
            </w:r>
          </w:p>
        </w:tc>
      </w:tr>
      <w:tr w14:paraId="42800012">
        <w:trPr>
          <w:jc w:val="center"/>
        </w:trPr>
        <w:tc>
          <w:tcPr>
            <w:tcW w:w="141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9D92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安全物资</w:t>
            </w:r>
          </w:p>
        </w:tc>
        <w:tc>
          <w:tcPr>
            <w:tcW w:w="289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9BC6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救生衣、救生圈、抛绳包、担架、氧气/急救包、潜水员标识、无线电和备用电源</w:t>
            </w:r>
          </w:p>
        </w:tc>
        <w:tc>
          <w:tcPr>
            <w:tcW w:w="481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3EBB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以设计最大同时在场人数为基准配置，不按每日平均人数配置；训练、盘点与演练属于持续投入。</w:t>
            </w:r>
          </w:p>
        </w:tc>
      </w:tr>
    </w:tbl>
    <w:p w14:paraId="3871E830">
      <w:pPr>
        <w:spacing w:after="20"/>
      </w:pPr>
    </w:p>
    <w:p w14:paraId="45D06756">
      <w:pPr>
        <w:pStyle w:val="3"/>
        <w:keepNext/>
        <w:spacing w:before="240" w:after="120" w:line="252" w:lineRule="auto"/>
      </w:pPr>
      <w:r>
        <w:rPr>
          <w:rFonts w:ascii="Noto Sans CJK SC" w:hAnsi="Noto Sans CJK SC" w:eastAsia="Noto Sans CJK SC"/>
          <w:b/>
          <w:color w:val="17364D"/>
          <w:sz w:val="34"/>
        </w:rPr>
        <w:t>3 海湾巨幕文化场：一座场馆，多种运营模式</w:t>
      </w:r>
    </w:p>
    <w:p w14:paraId="5D2B4F60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“剧院、电影院、体育场多合一”应采用陆上可转换综合场馆：通过可收纳座椅、模块化舞台、可切换地面和声光电控制，在体育赛事、电影放映、剧场演出和大型集会之间转换。让大型观众密度、重型设备、消防与大跨度结构留在陆地；浮岛舞台只承接更轻、更开放、能在恶劣天气时迅速停止的临水表演。</w:t>
      </w:r>
    </w:p>
    <w:p w14:paraId="1479D8B0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3.1 综合场馆的产品功能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2F326BEE">
        <w:trPr>
          <w:tblHeader/>
          <w:jc w:val="center"/>
        </w:trPr>
        <w:tc>
          <w:tcPr>
            <w:tcW w:w="1417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1089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模式</w:t>
            </w:r>
          </w:p>
        </w:tc>
        <w:tc>
          <w:tcPr>
            <w:tcW w:w="3969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1727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主要设备/配置</w:t>
            </w:r>
          </w:p>
        </w:tc>
        <w:tc>
          <w:tcPr>
            <w:tcW w:w="3685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366F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关键转换条件</w:t>
            </w:r>
          </w:p>
        </w:tc>
      </w:tr>
      <w:tr w14:paraId="242A30BB">
        <w:trPr>
          <w:jc w:val="center"/>
        </w:trPr>
        <w:tc>
          <w:tcPr>
            <w:tcW w:w="141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AFB3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体育模式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D5BB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可拆/可收纳看台、多用途地板、计分与广播系统、更衣和器材库。</w:t>
            </w:r>
          </w:p>
        </w:tc>
        <w:tc>
          <w:tcPr>
            <w:tcW w:w="368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6990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地面从演出模式切换前应检查荷载、地坪、场线和视线；大型赛事优先使用陆上场馆。</w:t>
            </w:r>
          </w:p>
        </w:tc>
      </w:tr>
      <w:tr w14:paraId="65233403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EBB4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影院模式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AA8C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可移动遮光幕、可变声学布置、投影/LED主屏、沉浸式声音与字幕系统。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8933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灯光、空调、消防分区和座椅布局按影院容量单独校核；保持无障碍与疏散通道。</w:t>
            </w:r>
          </w:p>
        </w:tc>
      </w:tr>
      <w:tr w14:paraId="522DC3E6">
        <w:trPr>
          <w:jc w:val="center"/>
        </w:trPr>
        <w:tc>
          <w:tcPr>
            <w:tcW w:w="141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7C5F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剧场/演出模式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4CED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可升降/模块化舞台、吊点、可调声学反射、排练与后台。</w:t>
            </w:r>
          </w:p>
        </w:tc>
        <w:tc>
          <w:tcPr>
            <w:tcW w:w="368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0683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吊点和舞台设备需独立荷载表；切换节目时执行机械互锁和安全确认。</w:t>
            </w:r>
          </w:p>
        </w:tc>
      </w:tr>
      <w:tr w14:paraId="680419FC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6BAE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节庆模式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16EE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户外广场、花车编组区、巡游路线、临水舞台、实时客流屏。</w:t>
            </w:r>
          </w:p>
        </w:tc>
        <w:tc>
          <w:tcPr>
            <w:tcW w:w="36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D49F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预约分区、单向步行、可关闭栈桥和应急通道优先；烟花不作为日常主秀。</w:t>
            </w:r>
          </w:p>
        </w:tc>
      </w:tr>
    </w:tbl>
    <w:p w14:paraId="4262E5B3">
      <w:pPr>
        <w:spacing w:after="20"/>
      </w:pPr>
    </w:p>
    <w:p w14:paraId="04FEB4C5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3.2 花车与人物巡游</w:t>
      </w:r>
    </w:p>
    <w:p w14:paraId="2A188357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巡游路线建议设计为约1.2—2.0 km的单向环线，主通道宽度初步按8—12 m讨论，路线经过综合场馆外广场、陆上主街与临水观演区，再回到独立编组/维修区。尺寸只用于总体布局，不构成拥挤安全计算。花车采用电驱底盘、低速控制、紧急断电和防夹护罩；人物巡游与花车分组错峰，禁止占用消防、急救、疏散通道。</w:t>
      </w:r>
    </w:p>
    <w:p w14:paraId="3D58350B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观演布局：设置连续但可分段关闭的观演点；每段都有入口、出口、急救接近点和人员计数，不允许人群在狭窄栈桥上形成双向对冲。</w:t>
      </w:r>
    </w:p>
    <w:p w14:paraId="648132AA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数字系统：预约人数、实时密度、车辆速度、天气、节目时间表在同一控制台显示；客流接近阈值时自动停止放行下一段巡游。</w:t>
      </w:r>
    </w:p>
    <w:p w14:paraId="52AE6192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花车物资：轻量化框架、耐盐雾涂层、可拆装装饰、电池和充电柜、轮胎/制动备件、消防器材与工具。</w:t>
      </w:r>
    </w:p>
    <w:p w14:paraId="0AC9C0AE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3.3 灯光秀、水上音乐节与烟花秀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79"/>
        <w:gridCol w:w="2479"/>
        <w:gridCol w:w="2479"/>
      </w:tblGrid>
      <w:tr w14:paraId="743880A3">
        <w:trPr>
          <w:tblHeader/>
          <w:jc w:val="center"/>
        </w:trPr>
        <w:tc>
          <w:tcPr>
            <w:tcW w:w="1417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9010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w="2835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5BF8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建议形式</w:t>
            </w:r>
          </w:p>
        </w:tc>
        <w:tc>
          <w:tcPr>
            <w:tcW w:w="238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F770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能耗/资源边界</w:t>
            </w:r>
          </w:p>
        </w:tc>
        <w:tc>
          <w:tcPr>
            <w:tcW w:w="2438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8F03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安全与生态要求</w:t>
            </w:r>
          </w:p>
        </w:tc>
      </w:tr>
      <w:tr w14:paraId="7F4C2C20">
        <w:trPr>
          <w:jc w:val="center"/>
        </w:trPr>
        <w:tc>
          <w:tcPr>
            <w:tcW w:w="141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1001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海湾灯光秀</w:t>
            </w:r>
          </w:p>
        </w:tc>
        <w:tc>
          <w:tcPr>
            <w:tcW w:w="283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345E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低眩光灯具、建筑投影、可编程水幕、岸线灯带；“海湾脉搏”把当天潮位/水质数据转成视觉内容。</w:t>
            </w:r>
          </w:p>
        </w:tc>
        <w:tc>
          <w:tcPr>
            <w:tcW w:w="238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D1F3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峰值约0.3—0.8 MW；单场电量约0.3—0.8 MWh，视时长和设备规模变化。</w:t>
            </w:r>
          </w:p>
        </w:tc>
        <w:tc>
          <w:tcPr>
            <w:tcW w:w="243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0F59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水面反射光控制方向与亮度；繁殖/迁徙或生态敏感期降低强光和噪声。</w:t>
            </w:r>
          </w:p>
        </w:tc>
      </w:tr>
      <w:tr w14:paraId="0775FC78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1363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水上音乐节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3F12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陆上主舞台+低动态浮动副舞台；音响、屏幕、灯光及设备供电分区。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43BE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演出系统约0.5—1.5 MW峰值；典型活动日电量应预留4—10 MWh量级。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DF83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观众容量、音量、风浪、设备系固、救援艇、噪声边界与散场交通共同审查。</w:t>
            </w:r>
          </w:p>
        </w:tc>
      </w:tr>
      <w:tr w14:paraId="11867804">
        <w:trPr>
          <w:jc w:val="center"/>
        </w:trPr>
        <w:tc>
          <w:tcPr>
            <w:tcW w:w="141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B29C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烟花秀</w:t>
            </w:r>
          </w:p>
        </w:tc>
        <w:tc>
          <w:tcPr>
            <w:tcW w:w="283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0CA3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仅作为批准后、限定时段的节庆项目；日常主秀优先采用无人机、激光、水幕与灯光编程。</w:t>
            </w:r>
          </w:p>
        </w:tc>
        <w:tc>
          <w:tcPr>
            <w:tcW w:w="238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7308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耗电不是唯一成本；还需考虑烟花作业物资、消防、清场和事后残留回收。</w:t>
            </w:r>
          </w:p>
        </w:tc>
        <w:tc>
          <w:tcPr>
            <w:tcW w:w="243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3C93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须经当地审批和空域/港航/消防等专项核查；不靠近森林、易燃储存、生态静默区或密集观众区。</w:t>
            </w:r>
          </w:p>
        </w:tc>
      </w:tr>
    </w:tbl>
    <w:p w14:paraId="6111D994">
      <w:pPr>
        <w:spacing w:after="20"/>
      </w:pPr>
    </w:p>
    <w:p w14:paraId="2881226E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3.4 空间与资源投入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68C025E6">
        <w:trPr>
          <w:tblHeader/>
          <w:jc w:val="center"/>
        </w:trPr>
        <w:tc>
          <w:tcPr>
            <w:tcW w:w="1474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6C7B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投入项</w:t>
            </w:r>
          </w:p>
        </w:tc>
        <w:tc>
          <w:tcPr>
            <w:tcW w:w="3969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5AE4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概念量级</w:t>
            </w:r>
          </w:p>
        </w:tc>
        <w:tc>
          <w:tcPr>
            <w:tcW w:w="3628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FC29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备注</w:t>
            </w:r>
          </w:p>
        </w:tc>
      </w:tr>
      <w:tr w14:paraId="483779A2">
        <w:trPr>
          <w:jc w:val="center"/>
        </w:trPr>
        <w:tc>
          <w:tcPr>
            <w:tcW w:w="1474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1778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综合场馆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6A81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建筑总建筑面积约22,000—30,000 m²；场地用地约18,000 m²；建议先按4,000—6,000座可变席位研究</w:t>
            </w:r>
          </w:p>
        </w:tc>
        <w:tc>
          <w:tcPr>
            <w:tcW w:w="362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ED6B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座席、出口宽度、消防分区、无障碍和视线设计需由客流与建筑专业复核。若希望扩至8,000座，应重新核算。</w:t>
            </w:r>
          </w:p>
        </w:tc>
      </w:tr>
      <w:tr w14:paraId="67F58B5A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F677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广场/巡游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75CF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户外广场约12,000—18,000 m²；环线约1.2—2.0 km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0893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含花车编组、维修与隔离带，不将全部面积按站立观众面积计。</w:t>
            </w:r>
          </w:p>
        </w:tc>
      </w:tr>
      <w:tr w14:paraId="734368D6">
        <w:trPr>
          <w:jc w:val="center"/>
        </w:trPr>
        <w:tc>
          <w:tcPr>
            <w:tcW w:w="1474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9DB2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临水舞台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3A3D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浮动舞台约4,000—6,000 m²（概念预留）</w:t>
            </w:r>
          </w:p>
        </w:tc>
        <w:tc>
          <w:tcPr>
            <w:tcW w:w="362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A87E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按舞台设备、观众分布、浮体姿态和疏散能力重新定尺度；高密度人群留在陆上。</w:t>
            </w:r>
          </w:p>
        </w:tc>
      </w:tr>
      <w:tr w14:paraId="3DC01724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A268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电力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7CC4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场馆峰值约1.5—3.5 MW；普通开放日约5—12 MWh；大型演出日约12—25 MWh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4FB6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需分开管理舞台设备、空调、照明、厨房、屏幕与应急负荷；活动高峰需电网/储能联合调度。</w:t>
            </w:r>
          </w:p>
        </w:tc>
      </w:tr>
      <w:tr w14:paraId="53E6AB8A">
        <w:trPr>
          <w:jc w:val="center"/>
        </w:trPr>
        <w:tc>
          <w:tcPr>
            <w:tcW w:w="1474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22BC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水与物资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8F83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活动日用水约40—100 m³；垃圾产生量可按2—5吨/日预留转运能力（大型活动另行校核）</w:t>
            </w:r>
          </w:p>
        </w:tc>
        <w:tc>
          <w:tcPr>
            <w:tcW w:w="362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A8E8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需要临时厕所、清洁用水、可回收包装收集、食品冷链、舞台线缆、防水接头、音响和备用发电/电池接口。</w:t>
            </w:r>
          </w:p>
        </w:tc>
      </w:tr>
    </w:tbl>
    <w:p w14:paraId="18FA2BFC">
      <w:pPr>
        <w:spacing w:after="20"/>
      </w:pPr>
    </w:p>
    <w:p w14:paraId="4BD322A7">
      <w:pPr>
        <w:spacing w:before="40" w:after="40" w:line="240" w:lineRule="auto"/>
        <w:jc w:val="center"/>
      </w:pPr>
      <w:r>
        <w:drawing>
          <wp:inline distT="0" distB="0" distL="114300" distR="114300">
            <wp:extent cx="5897880" cy="3334385"/>
            <wp:effectExtent l="0" t="0" r="2032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AF17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5747D"/>
          <w:sz w:val="17"/>
        </w:rPr>
        <w:t>概念草图说明：陆上综合场馆与主集散区承担高密度观众；浮动舞台承担临水氛围和轻量演出；巡游路线不得穿越主要应急通道。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42E0A804">
        <w:trPr>
          <w:jc w:val="center"/>
        </w:trPr>
        <w:tc>
          <w:tcPr>
            <w:tcW w:w="9916" w:type="dxa"/>
            <w:shd w:val="clear" w:color="auto" w:fill="FBEBC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D675094"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4D"/>
                <w:sz w:val="21"/>
              </w:rPr>
              <w:t>节庆联动原则</w:t>
            </w:r>
          </w:p>
          <w:p w14:paraId="32B648D8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9"/>
              </w:rPr>
              <w:t>主秀必须允许“降级播放、准时停演、分区撤离”。风浪、设备、供电或生态条件不合适时，先取消水上副舞台/烟花，再保留低功率岸上灯光或室内演出。不得为了演出完整性让观众滞留在浮岛上。</w:t>
            </w:r>
          </w:p>
        </w:tc>
      </w:tr>
    </w:tbl>
    <w:p w14:paraId="6B7E6E44">
      <w:pPr>
        <w:spacing w:after="20"/>
      </w:pPr>
    </w:p>
    <w:p w14:paraId="5675C301">
      <w:pPr>
        <w:pStyle w:val="3"/>
        <w:keepNext/>
        <w:spacing w:before="240" w:after="120" w:line="252" w:lineRule="auto"/>
      </w:pPr>
      <w:r>
        <w:rPr>
          <w:rFonts w:ascii="Noto Sans CJK SC" w:hAnsi="Noto Sans CJK SC" w:eastAsia="Noto Sans CJK SC"/>
          <w:b/>
          <w:color w:val="17364D"/>
          <w:sz w:val="34"/>
        </w:rPr>
        <w:t>4 云林探索带：低能耗、高体验的生态游憩</w:t>
      </w:r>
    </w:p>
    <w:p w14:paraId="1B0299F7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森林板块不追求设备数量，而用地形、植被层次、路线选择和微气候塑造体验。若是从空地上新建森林，应在项目中称为“原生风貌森林”或“森林生态体验区”；“原始森林”意味着长期自然演替和复杂生态系统，不能单靠短期种植直接实现。</w:t>
      </w:r>
    </w:p>
    <w:p w14:paraId="3E8FE624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4.1 核心产品与体验路线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22A6328C">
        <w:trPr>
          <w:tblHeader/>
          <w:jc w:val="center"/>
        </w:trPr>
        <w:tc>
          <w:tcPr>
            <w:tcW w:w="1587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1E7E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产品</w:t>
            </w:r>
          </w:p>
        </w:tc>
        <w:tc>
          <w:tcPr>
            <w:tcW w:w="3969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125B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w="3515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E2CA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设计边界</w:t>
            </w:r>
          </w:p>
        </w:tc>
      </w:tr>
      <w:tr w14:paraId="2DC3878E">
        <w:trPr>
          <w:jc w:val="center"/>
        </w:trPr>
        <w:tc>
          <w:tcPr>
            <w:tcW w:w="158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8463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林间探索步道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9758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低强度自然教育线、较长进阶线、无障碍/亲子短线、观察点、休息点。</w:t>
            </w:r>
          </w:p>
        </w:tc>
        <w:tc>
          <w:tcPr>
            <w:tcW w:w="351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B22D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尽量沿现有地形布置，减少大开挖；设单向小环线和可关闭支路。</w:t>
            </w:r>
          </w:p>
        </w:tc>
      </w:tr>
      <w:tr w14:paraId="35C38693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FBFE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树冠栈道/观景平台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7A4E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局部抬高步道、俯瞰林冠、观鸟/昆虫与生态讲解。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F3C0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尽量用独立点式基础、可更换构件；避开鸟巢、树根密集区和高风口。</w:t>
            </w:r>
          </w:p>
        </w:tc>
      </w:tr>
      <w:tr w14:paraId="5A6B63AD">
        <w:trPr>
          <w:jc w:val="center"/>
        </w:trPr>
        <w:tc>
          <w:tcPr>
            <w:tcW w:w="1587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93BA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森林探险关卡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FDC3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绳桥、平衡桥、攀爬网或滑索等可预约体验。</w:t>
            </w:r>
          </w:p>
        </w:tc>
        <w:tc>
          <w:tcPr>
            <w:tcW w:w="351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B201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每个关卡独立检验与限流；不与主步行线交叉，设置防坠与救援点。</w:t>
            </w:r>
          </w:p>
        </w:tc>
      </w:tr>
      <w:tr w14:paraId="2675E7DE">
        <w:trPr>
          <w:jc w:val="center"/>
        </w:trPr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BAF0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缆车/高点观景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3973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如确需设置，只作为独立线路连接固定陆上高点与已核算的终点站。</w:t>
            </w:r>
          </w:p>
        </w:tc>
        <w:tc>
          <w:tcPr>
            <w:tcW w:w="35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124F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不为追求全景而穿越生态敏感区；塔架维护、停电救援和风速停运条件不可省略。</w:t>
            </w:r>
          </w:p>
        </w:tc>
      </w:tr>
    </w:tbl>
    <w:p w14:paraId="3BA63CF7">
      <w:pPr>
        <w:spacing w:after="20"/>
      </w:pPr>
    </w:p>
    <w:p w14:paraId="56059053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4.2 生态与维护系统</w:t>
      </w:r>
    </w:p>
    <w:p w14:paraId="217A1EA7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分级承载：低强度路线可开放较长时间；进阶线路预约分时；雨后、雷电、大风、火险等级高或步道结构异常时关闭相关区域。</w:t>
      </w:r>
    </w:p>
    <w:p w14:paraId="20D20247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材料策略：优先耐久、防滑、可拆修的木塑复合材料、经过防腐处理的木材、耐候钢或轻型钢结构；材料选择应考虑雨水、盐雾、紫外线和维护可达性。</w:t>
      </w:r>
    </w:p>
    <w:p w14:paraId="42FD79C2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水与能源：雨水花园、透水地面和回用水灌溉优先；照明采用低位、遮光、分区控制；生态敏感区不做整夜高亮景观照明。</w:t>
      </w:r>
    </w:p>
    <w:p w14:paraId="25DBDF40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0"/>
        </w:rPr>
        <w:t>数字巡护：入口人数、重点节点人数、路线闭合状态、微气候、烟雾/温度和紧急呼叫进入同一管理系统；人工巡护仍须保留。</w:t>
      </w:r>
    </w:p>
    <w:p w14:paraId="2F3ECC25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4.3 空间、能源与物资投入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07FFE5E9">
        <w:trPr>
          <w:tblHeader/>
          <w:jc w:val="center"/>
        </w:trPr>
        <w:tc>
          <w:tcPr>
            <w:tcW w:w="153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B799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投入项</w:t>
            </w:r>
          </w:p>
        </w:tc>
        <w:tc>
          <w:tcPr>
            <w:tcW w:w="2835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7C4A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概念量级</w:t>
            </w:r>
          </w:p>
        </w:tc>
        <w:tc>
          <w:tcPr>
            <w:tcW w:w="4819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1EFF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主要构成与说明</w:t>
            </w:r>
          </w:p>
        </w:tc>
      </w:tr>
      <w:tr w14:paraId="54C9E48F">
        <w:trPr>
          <w:jc w:val="center"/>
        </w:trPr>
        <w:tc>
          <w:tcPr>
            <w:tcW w:w="153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17BB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空间</w:t>
            </w:r>
          </w:p>
        </w:tc>
        <w:tc>
          <w:tcPr>
            <w:tcW w:w="283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2DF6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森林/景观约40,000—50,000 m²；总步道约2.5—4 km；树冠栈道约300—600 m</w:t>
            </w:r>
          </w:p>
        </w:tc>
        <w:tc>
          <w:tcPr>
            <w:tcW w:w="481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8880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应留出生态缓冲与消防维护通道；不把所有林地都变成可游览面积。</w:t>
            </w:r>
          </w:p>
        </w:tc>
      </w:tr>
      <w:tr w14:paraId="4398AF77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A15E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电力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6040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峰值约0.1—0.3 MW；每日约1—3 MWh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5429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以路径低位照明、微气候/安全传感器、设备节点和通信为主。缆车若落入本板块，电力应另计在运动交通系统。</w:t>
            </w:r>
          </w:p>
        </w:tc>
      </w:tr>
      <w:tr w14:paraId="34310C91">
        <w:trPr>
          <w:jc w:val="center"/>
        </w:trPr>
        <w:tc>
          <w:tcPr>
            <w:tcW w:w="153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26FB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用水</w:t>
            </w:r>
          </w:p>
        </w:tc>
        <w:tc>
          <w:tcPr>
            <w:tcW w:w="283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878E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常态约5—15 m³/日；建植/干旱期可能更高，按气象和植被模型复核</w:t>
            </w:r>
          </w:p>
        </w:tc>
        <w:tc>
          <w:tcPr>
            <w:tcW w:w="481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2812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优先收集雨水与回用水，建立树木成活率和土壤湿度监测，不默认依赖淡水持续灌溉。</w:t>
            </w:r>
          </w:p>
        </w:tc>
      </w:tr>
      <w:tr w14:paraId="69FC8A5A">
        <w:trPr>
          <w:jc w:val="center"/>
        </w:trPr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D344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主要物资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67CC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步道铺面、桥/平台构件、栏杆、防坠网、救援绳索、导览牌、环境传感器、消防与急救设备</w:t>
            </w:r>
          </w:p>
        </w:tc>
        <w:tc>
          <w:tcPr>
            <w:tcW w:w="481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356D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设计为可拆换模块，避免每次检修都需要大型机械进入林地。</w:t>
            </w:r>
          </w:p>
        </w:tc>
      </w:tr>
      <w:tr w14:paraId="38EEC148">
        <w:trPr>
          <w:jc w:val="center"/>
        </w:trPr>
        <w:tc>
          <w:tcPr>
            <w:tcW w:w="153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D6F7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运营投入</w:t>
            </w:r>
          </w:p>
        </w:tc>
        <w:tc>
          <w:tcPr>
            <w:tcW w:w="2835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8BCC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园艺/生态维护、巡护、安全检查、落叶清理、消防演练和路线修复</w:t>
            </w:r>
          </w:p>
        </w:tc>
        <w:tc>
          <w:tcPr>
            <w:tcW w:w="481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492B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森林景观不应只预算建设，不预算持续修剪、病虫害管理、火险预防与生态监测。</w:t>
            </w:r>
          </w:p>
        </w:tc>
      </w:tr>
    </w:tbl>
    <w:p w14:paraId="2B04E238">
      <w:pPr>
        <w:spacing w:after="20"/>
      </w:pPr>
    </w:p>
    <w:p w14:paraId="41DBF8CC">
      <w:pPr>
        <w:spacing w:before="40" w:after="40" w:line="240" w:lineRule="auto"/>
        <w:jc w:val="center"/>
      </w:pPr>
      <w:r>
        <w:drawing>
          <wp:inline distT="0" distB="0" distL="114300" distR="114300">
            <wp:extent cx="5897880" cy="3334385"/>
            <wp:effectExtent l="0" t="0" r="203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789D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5747D"/>
          <w:sz w:val="17"/>
        </w:rPr>
        <w:t>概念草图说明：低强度路线与进阶探险路线分级设置，救援节点兼具通信、急救与路线封闭功能。</w:t>
      </w:r>
    </w:p>
    <w:p w14:paraId="401CC341">
      <w:pPr>
        <w:pStyle w:val="3"/>
        <w:keepNext/>
        <w:spacing w:before="240" w:after="120" w:line="252" w:lineRule="auto"/>
      </w:pPr>
      <w:r>
        <w:rPr>
          <w:rFonts w:ascii="Noto Sans CJK SC" w:hAnsi="Noto Sans CJK SC" w:eastAsia="Noto Sans CJK SC"/>
          <w:b/>
          <w:color w:val="17364D"/>
          <w:sz w:val="34"/>
        </w:rPr>
        <w:t>5 四大场景共用的资源与控制系统</w:t>
      </w:r>
    </w:p>
    <w:p w14:paraId="12446A2F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5.1 能源：按场景分区、峰值错峰</w:t>
      </w:r>
    </w:p>
    <w:p w14:paraId="28769CBD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地热在世界观中是稳定基荷，但游憩设施的实际电功率、发电可用率和余热能否利用须由能源系统设计另行论证。方案应采用分区计量和分级负荷：医疗、通信、排水、疏散照明、关键控制优先；场馆空调、浪池、演出灯光和快艇充电可按时段管理。浮岛配电柜、连接器和电缆接头应适应盐雾、潮湿和动态位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79"/>
        <w:gridCol w:w="2479"/>
        <w:gridCol w:w="2479"/>
      </w:tblGrid>
      <w:tr w14:paraId="4A239491">
        <w:trPr>
          <w:tblHeader/>
          <w:jc w:val="center"/>
        </w:trPr>
        <w:tc>
          <w:tcPr>
            <w:tcW w:w="170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42E8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w="170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6ADE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峰值功率（初估）</w:t>
            </w:r>
          </w:p>
        </w:tc>
        <w:tc>
          <w:tcPr>
            <w:tcW w:w="238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4444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活动日电量（初估）</w:t>
            </w:r>
          </w:p>
        </w:tc>
        <w:tc>
          <w:tcPr>
            <w:tcW w:w="3402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6B4D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需要单独计量的负荷</w:t>
            </w:r>
          </w:p>
        </w:tc>
      </w:tr>
      <w:tr w14:paraId="19154340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16E0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海下第二世界</w:t>
            </w:r>
          </w:p>
        </w:tc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5686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0.4—0.8 MW</w:t>
            </w:r>
          </w:p>
        </w:tc>
        <w:tc>
          <w:tcPr>
            <w:tcW w:w="238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0C5C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4—8 MWh</w:t>
            </w:r>
          </w:p>
        </w:tc>
        <w:tc>
          <w:tcPr>
            <w:tcW w:w="340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D51D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观景舱通风/除湿、循环水、影像、潜水支持与救援。</w:t>
            </w:r>
          </w:p>
        </w:tc>
      </w:tr>
      <w:tr w14:paraId="0B474D5D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5974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海湾运动冒险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3D01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1.5—3.0 MW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A37D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10—20 MWh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C443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造浪机、池水循环、快艇充电、缆车和安全设备。</w:t>
            </w:r>
          </w:p>
        </w:tc>
      </w:tr>
      <w:tr w14:paraId="092BA109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C9AA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海湾巨幕文化</w:t>
            </w:r>
          </w:p>
        </w:tc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32A2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1.5—3.5 MW</w:t>
            </w:r>
          </w:p>
        </w:tc>
        <w:tc>
          <w:tcPr>
            <w:tcW w:w="238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ACDF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普通日5—12 MWh；大型活动日12—25 MWh</w:t>
            </w:r>
          </w:p>
        </w:tc>
        <w:tc>
          <w:tcPr>
            <w:tcW w:w="340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55155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场馆空调、舞台、灯光/屏幕、广播、厨房和临时设施。</w:t>
            </w:r>
          </w:p>
        </w:tc>
      </w:tr>
      <w:tr w14:paraId="5DC15E16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8DF9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云林探索带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28C9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0.1—0.3 MW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1695F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1—3 MWh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1E33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步道照明、传感器、通信和安全节点。</w:t>
            </w:r>
          </w:p>
        </w:tc>
      </w:tr>
      <w:tr w14:paraId="454BDE93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824F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共用支持系统</w:t>
            </w:r>
          </w:p>
        </w:tc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1C4D1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0.3—0.8 MW</w:t>
            </w:r>
          </w:p>
        </w:tc>
        <w:tc>
          <w:tcPr>
            <w:tcW w:w="238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E17F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4—8 MWh</w:t>
            </w:r>
          </w:p>
        </w:tc>
        <w:tc>
          <w:tcPr>
            <w:tcW w:w="340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4E29A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泵站、监控中心、接驳码头、消防/急救与污水处理接口。</w:t>
            </w:r>
          </w:p>
        </w:tc>
      </w:tr>
      <w:tr w14:paraId="6FE32994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8D24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合计校核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99F2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约4—8 MW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004E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普通日约25—45 MWh；节庆日约40—70 MWh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69C3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6"/>
              </w:rPr>
              <w:t>各场景的峰值不一定同时发生；需用负荷曲线而非简单相加确定供电能力。</w:t>
            </w:r>
          </w:p>
        </w:tc>
      </w:tr>
    </w:tbl>
    <w:p w14:paraId="670234EE">
      <w:pPr>
        <w:spacing w:after="20"/>
      </w:pPr>
    </w:p>
    <w:p w14:paraId="37E9C2E4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21"/>
        </w:rPr>
        <w:t>上述电量为概念级设备组合估算，主要用于确定微电网量级和场景错峰方向，不是设备选型结果。后续需逐台列出额定功率、运行小时、启动电流、备用系数和年利用率。</w:t>
      </w:r>
    </w:p>
    <w:p w14:paraId="5B91031F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5.2 水、污水与物资循环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46FBC09C">
        <w:trPr>
          <w:tblHeader/>
          <w:jc w:val="center"/>
        </w:trPr>
        <w:tc>
          <w:tcPr>
            <w:tcW w:w="1474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B5CF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系统</w:t>
            </w:r>
          </w:p>
        </w:tc>
        <w:tc>
          <w:tcPr>
            <w:tcW w:w="3969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44B6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方案需求</w:t>
            </w:r>
          </w:p>
        </w:tc>
        <w:tc>
          <w:tcPr>
            <w:tcW w:w="3628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DA72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设计边界</w:t>
            </w:r>
          </w:p>
        </w:tc>
      </w:tr>
      <w:tr w14:paraId="1AC4483F">
        <w:trPr>
          <w:jc w:val="center"/>
        </w:trPr>
        <w:tc>
          <w:tcPr>
            <w:tcW w:w="1474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89D0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供水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4CDC3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游憩运营用水约150—350 m³/日；水上乐园/训练池初次蓄水约3,000—6,000 m³</w:t>
            </w:r>
          </w:p>
        </w:tc>
        <w:tc>
          <w:tcPr>
            <w:tcW w:w="362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6191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分别列出生活水、池水初次补水、每日补水、清洁用水和灌溉水；不要混成一个“总水量”。</w:t>
            </w:r>
          </w:p>
        </w:tc>
      </w:tr>
      <w:tr w14:paraId="38A075BA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0758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循环与消毒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9F5B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各人工泳池/浪池独立循环、过滤、消毒和水质记录；必要时分系统控制。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69929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水质监测异常或循环系统停机时停止相应水上项目；不得把未经处理的池水排入胶州湾。</w:t>
            </w:r>
          </w:p>
        </w:tc>
      </w:tr>
      <w:tr w14:paraId="0A02C735">
        <w:trPr>
          <w:jc w:val="center"/>
        </w:trPr>
        <w:tc>
          <w:tcPr>
            <w:tcW w:w="1474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3327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污水与垃圾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44D2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污水预处理、分质收集、回用/达标排放；事件日设临时垃圾分类与转运点。</w:t>
            </w:r>
          </w:p>
        </w:tc>
        <w:tc>
          <w:tcPr>
            <w:tcW w:w="3628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C179C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浮岛上的厕所、餐饮、清洁间必须接入污水收集，不应直接排海；设置事故截流和泄漏报警。</w:t>
            </w:r>
          </w:p>
        </w:tc>
      </w:tr>
      <w:tr w14:paraId="3798E4A8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6754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物资维护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3CB12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浮体/连接件备件、救生装备、滤芯/药剂、舞台与缆车备件、照明/通信备件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0B9E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建立海洋环境备件库；关键件须可追溯，记录采购、安装、检测、维修和报废。</w:t>
            </w:r>
          </w:p>
        </w:tc>
      </w:tr>
    </w:tbl>
    <w:p w14:paraId="1DD54EEB">
      <w:pPr>
        <w:spacing w:after="20"/>
      </w:pPr>
    </w:p>
    <w:p w14:paraId="0F98E023">
      <w:pPr>
        <w:pStyle w:val="4"/>
        <w:keepNext/>
        <w:spacing w:before="160" w:after="120" w:line="252" w:lineRule="auto"/>
      </w:pPr>
      <w:r>
        <w:rPr>
          <w:rFonts w:ascii="Noto Sans CJK SC" w:hAnsi="Noto Sans CJK SC" w:eastAsia="Noto Sans CJK SC"/>
          <w:b/>
          <w:color w:val="187C80"/>
          <w:sz w:val="27"/>
        </w:rPr>
        <w:t>5.3 数字控制平台：一套“开园状态机”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5"/>
        <w:gridCol w:w="3305"/>
        <w:gridCol w:w="3305"/>
      </w:tblGrid>
      <w:tr w14:paraId="7CDAC550">
        <w:trPr>
          <w:tblHeader/>
          <w:jc w:val="center"/>
        </w:trPr>
        <w:tc>
          <w:tcPr>
            <w:tcW w:w="1701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E695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w="3402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CE46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系统动作</w:t>
            </w:r>
          </w:p>
        </w:tc>
        <w:tc>
          <w:tcPr>
            <w:tcW w:w="3969" w:type="dxa"/>
            <w:shd w:val="clear" w:color="auto" w:fill="1736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AAE8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示例</w:t>
            </w:r>
          </w:p>
        </w:tc>
      </w:tr>
      <w:tr w14:paraId="479B5C77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A7A6D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绿色｜正常开放</w:t>
            </w:r>
          </w:p>
        </w:tc>
        <w:tc>
          <w:tcPr>
            <w:tcW w:w="340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680EE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按预约容量开放，常规监测与巡检。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B1097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水质、风浪、结构和人员配置均满足预设条件。</w:t>
            </w:r>
          </w:p>
        </w:tc>
      </w:tr>
      <w:tr w14:paraId="64EC8A9A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0CA2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黄色｜降级运行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38CF8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限流、关闭某些水域/设备，减少灯光或演出规模。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CE634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局地风力或能见度变差，浮岛某个模块检修。</w:t>
            </w:r>
          </w:p>
        </w:tc>
      </w:tr>
      <w:tr w14:paraId="064C60CD">
        <w:trPr>
          <w:jc w:val="center"/>
        </w:trPr>
        <w:tc>
          <w:tcPr>
            <w:tcW w:w="1701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5F210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红色｜停止与撤离</w:t>
            </w:r>
          </w:p>
        </w:tc>
        <w:tc>
          <w:tcPr>
            <w:tcW w:w="3402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7BC4B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停设备、停止发船/放行，按分区疏散，保持照明和通信。</w:t>
            </w:r>
          </w:p>
        </w:tc>
        <w:tc>
          <w:tcPr>
            <w:tcW w:w="3969" w:type="dxa"/>
            <w:shd w:val="clear" w:color="auto" w:fill="F1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1C256"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7"/>
              </w:rPr>
              <w:t>结构/系泊报警、水质异常、恶劣天气、停电或救援资源失效。</w:t>
            </w:r>
          </w:p>
        </w:tc>
      </w:tr>
    </w:tbl>
    <w:p w14:paraId="0B323912">
      <w:pPr>
        <w:spacing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1"/>
      </w:tblGrid>
      <w:tr w14:paraId="5A1FF1B6">
        <w:trPr>
          <w:jc w:val="center"/>
        </w:trPr>
        <w:tc>
          <w:tcPr>
            <w:tcW w:w="9916" w:type="dxa"/>
            <w:shd w:val="clear" w:color="auto" w:fill="EAF4F4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C0E0B45">
            <w:pPr>
              <w:spacing w:before="0" w:after="60" w:line="264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7364D"/>
                <w:sz w:val="21"/>
              </w:rPr>
              <w:t>系统原则</w:t>
            </w:r>
          </w:p>
          <w:p w14:paraId="7BCCEB84"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4343E"/>
                <w:sz w:val="19"/>
              </w:rPr>
              <w:t>预约系统不能替代限流线，电子围栏不能替代物理隔离，传感器不能替代巡检，备用电源不能替代疏散设计。每个场景必须能够单独停运，不影响全世界的基本供电、通信和撤离。</w:t>
            </w:r>
          </w:p>
        </w:tc>
      </w:tr>
    </w:tbl>
    <w:p w14:paraId="55D6875D">
      <w:pPr>
        <w:spacing w:after="20"/>
      </w:pPr>
    </w:p>
    <w:p w14:paraId="4B1077BB">
      <w:pPr>
        <w:spacing w:after="20"/>
      </w:pPr>
    </w:p>
    <w:p w14:paraId="4B12D949">
      <w:pPr>
        <w:pStyle w:val="3"/>
        <w:keepNext/>
        <w:spacing w:before="240" w:after="120" w:line="252" w:lineRule="auto"/>
      </w:pPr>
      <w:r>
        <w:rPr>
          <w:rFonts w:ascii="Noto Sans CJK SC" w:hAnsi="Noto Sans CJK SC" w:eastAsia="Noto Sans CJK SC"/>
          <w:b/>
          <w:color w:val="17364D"/>
          <w:sz w:val="34"/>
        </w:rPr>
        <w:t>参考资料与设计依据</w:t>
      </w:r>
    </w:p>
    <w:p w14:paraId="6F711359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18"/>
        </w:rPr>
        <w:t>[1] 国家市场监督管理总局、国家标准化管理委员会. GB 8408-2018《大型游乐设施安全规范》[S]. 现行状态查询：https://openstd.samr.gov.cn/bzgk/std/newGbInfo?hcno=939457520420DA90365A8B9664F3AC85 （访问日期：2026-10-23）。</w:t>
      </w:r>
    </w:p>
    <w:p w14:paraId="1A0C47EA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18"/>
        </w:rPr>
        <w:t>[2] Jabatan Kerja Raya Malaysia, Maritime Unit. Marina: Guidelines for Pontoon[S/OL]. 2026（网页标示发布约8个月前）. https://epsmg.jkr.gov.my/images/7/7c/MARINA_DESIGN_GUIDELINES-opt.pdf. 本方案仅借鉴浮台荷载、浮力稳定、系泊和运营边界等通用原则，不作为中国项目的合规依据。</w:t>
      </w:r>
    </w:p>
    <w:p w14:paraId="29ED9FC5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18"/>
        </w:rPr>
        <w:t>[3] 青岛市海洋发展局. 青岛市十七届人大三次会议第064号建议答复意见[EB/OL]. 2024-05-14. https://www.qingdao.gov.cn/zwgk/xxgk/hyfz/gkml/jytabl/202412/t20241216_8705467.shtml.</w:t>
      </w:r>
    </w:p>
    <w:p w14:paraId="6FB1BF73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18"/>
        </w:rPr>
        <w:t>[4] 国家市场监督管理总局、国家标准化管理委员会. GB 37488-2019《公共场所卫生指标及限值要求》[S]. 现行状态查询：https://openstd.samr.gov.cn/bzgk/std/newGbInfo?hcno=12A128ECA4833B0C0359DC5595DDC805 （访问日期：2026-10-23）。</w:t>
      </w:r>
    </w:p>
    <w:p w14:paraId="26020142">
      <w:pPr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24343E"/>
          <w:sz w:val="18"/>
        </w:rPr>
        <w:t>[5] 国家卫生健康委员会. GB 37487-2019《公共场所卫生管理规范》[S]. https://www.nhc.gov.cn/wjw/pgw/202003/0f8d6aa7f8c6402195bd1f07756863f8/files/1739778322058_90479.pdf （访问日期：2026-10-23）。</w:t>
      </w:r>
    </w:p>
    <w:p w14:paraId="1D4E07C6">
      <w:pPr>
        <w:spacing w:after="20"/>
      </w:pPr>
      <w:r>
        <w:rPr>
          <w:rFonts w:ascii="Noto Sans CJK SC" w:hAnsi="Noto Sans CJK SC" w:eastAsia="Noto Sans CJK SC"/>
          <w:b w:val="0"/>
          <w:i w:val="0"/>
          <w:color w:val="24343E"/>
          <w:sz w:val="18"/>
        </w:rPr>
        <w:t>[6] 青岛市海洋发展局. 关于完善胶州湾生态保护评价机制的提案办理意见[EB/OL]. 2025-05-12. https://ocean.qingdao.gov.cn/zfxxgk/jytabl/202505/t20250512_10392108.shtml.</w:t>
      </w:r>
    </w:p>
    <w:sectPr>
      <w:headerReference r:id="rId5" w:type="default"/>
      <w:footerReference r:id="rId6" w:type="default"/>
      <w:pgSz w:w="12240" w:h="15840"/>
      <w:pgMar w:top="1049" w:right="1162" w:bottom="992" w:left="1162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7C444">
    <w:pPr>
      <w:pStyle w:val="24"/>
      <w:jc w:val="center"/>
    </w:pPr>
    <w:r>
      <w:rPr>
        <w:rFonts w:ascii="Noto Sans CJK SC" w:hAnsi="Noto Sans CJK SC" w:eastAsia="Noto Sans CJK SC"/>
        <w:b w:val="0"/>
        <w:color w:val="65747D"/>
        <w:sz w:val="16"/>
      </w:rPr>
      <w:fldChar w:fldCharType="begin"/>
    </w:r>
    <w:r>
      <w:rPr>
        <w:rFonts w:ascii="Noto Sans CJK SC" w:hAnsi="Noto Sans CJK SC" w:eastAsia="Noto Sans CJK SC"/>
        <w:b w:val="0"/>
        <w:color w:val="65747D"/>
        <w:sz w:val="16"/>
      </w:rPr>
      <w:instrText xml:space="preserve"> PAGE </w:instrText>
    </w:r>
    <w:r>
      <w:rPr>
        <w:rFonts w:ascii="Noto Sans CJK SC" w:hAnsi="Noto Sans CJK SC" w:eastAsia="Noto Sans CJK SC"/>
        <w:b w:val="0"/>
        <w:color w:val="65747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A28C4">
    <w:pPr>
      <w:pStyle w:val="25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65747D"/>
        <w:sz w:val="16"/>
      </w:rPr>
      <w:t>青岛·胶州湾  /  游憩板块科技细节设计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A7795F"/>
    <w:rsid w:val="5739A272"/>
    <w:rsid w:val="7ABCED93"/>
    <w:rsid w:val="B3FD53EC"/>
    <w:rsid w:val="D7E9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Noto Sans CJK SC" w:hAnsi="Noto Sans CJK SC" w:eastAsia="Noto Sans CJK SC" w:cstheme="minorBidi"/>
      <w:color w:val="24343E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4D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87C80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87C8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00" w:line="300" w:lineRule="auto"/>
    </w:pPr>
    <w:rPr>
      <w:rFonts w:ascii="Noto Sans CJK SC" w:hAnsi="Noto Sans CJK SC" w:eastAsia="Noto Sans CJK SC"/>
      <w:color w:val="24343E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8495</Words>
  <Characters>9749</Characters>
  <Lines>0</Lines>
  <Paragraphs>0</Paragraphs>
  <TotalTime>2</TotalTime>
  <ScaleCrop>false</ScaleCrop>
  <LinksUpToDate>false</LinksUpToDate>
  <CharactersWithSpaces>9915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OpenAI</dc:creator>
  <dc:description>generated by python-docx</dc:description>
  <cp:keywords>青岛,胶州湾,浮岛,游憩设施,科技设计</cp:keywords>
  <cp:lastModifiedBy>WPS_1785427075</cp:lastModifiedBy>
  <dcterms:modified xsi:type="dcterms:W3CDTF">2026-10-23T20:25:45Z</dcterms:modified>
  <dc:subject>重点游憩产品、系统边界、空间能源物资投入与概念草图</dc:subject>
  <dc:title>科技细节设计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2052-12.1.29182.29182</vt:lpwstr>
  </property>
  <property fmtid="{D5CDD505-2E9C-101B-9397-08002B2CF9AE}" pid="3" name="ICV">
    <vt:lpwstr>B13210C4C54168178751DB6A72CEA63D_42</vt:lpwstr>
  </property>
</Properties>
</file>