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D04556" w14:textId="77777777" w:rsidR="006C17C4" w:rsidRDefault="00000000">
      <w:pPr>
        <w:spacing w:after="360"/>
        <w:jc w:val="center"/>
        <w:rPr>
          <w:lang w:eastAsia="zh-CN"/>
        </w:rPr>
      </w:pPr>
      <w:r>
        <w:rPr>
          <w:rFonts w:eastAsia="黑体"/>
          <w:b/>
          <w:color w:val="000000"/>
          <w:sz w:val="36"/>
          <w:lang w:eastAsia="zh-CN"/>
        </w:rPr>
        <w:t>概述模块四</w:t>
      </w:r>
      <w:r>
        <w:rPr>
          <w:rFonts w:eastAsia="黑体"/>
          <w:b/>
          <w:color w:val="000000"/>
          <w:sz w:val="36"/>
          <w:lang w:eastAsia="zh-CN"/>
        </w:rPr>
        <w:t xml:space="preserve"> · </w:t>
      </w:r>
      <w:r>
        <w:rPr>
          <w:rFonts w:eastAsia="黑体"/>
          <w:b/>
          <w:color w:val="000000"/>
          <w:sz w:val="36"/>
          <w:lang w:eastAsia="zh-CN"/>
        </w:rPr>
        <w:t>创新设计</w:t>
      </w:r>
    </w:p>
    <w:p w14:paraId="6E00D280" w14:textId="77777777" w:rsidR="006C17C4" w:rsidRDefault="00000000">
      <w:pPr>
        <w:spacing w:after="240"/>
        <w:jc w:val="center"/>
        <w:rPr>
          <w:lang w:eastAsia="zh-CN"/>
        </w:rPr>
      </w:pPr>
      <w:r>
        <w:rPr>
          <w:rFonts w:eastAsia="楷体"/>
          <w:color w:val="000000"/>
          <w:lang w:eastAsia="zh-CN"/>
        </w:rPr>
        <w:t>先留出余量，再谈形状</w:t>
      </w:r>
      <w:r>
        <w:rPr>
          <w:rFonts w:eastAsia="楷体"/>
          <w:color w:val="000000"/>
          <w:lang w:eastAsia="zh-CN"/>
        </w:rPr>
        <w:t>——</w:t>
      </w:r>
      <w:r>
        <w:rPr>
          <w:rFonts w:eastAsia="楷体"/>
          <w:color w:val="000000"/>
          <w:lang w:eastAsia="zh-CN"/>
        </w:rPr>
        <w:t>面向地核冷却时代的四维创新</w:t>
      </w:r>
    </w:p>
    <w:p w14:paraId="309865AC" w14:textId="77777777" w:rsidR="006C17C4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一、创新设计的总体逻辑</w:t>
      </w:r>
    </w:p>
    <w:p w14:paraId="618143FC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模块一确定了本世界的时代背景：地球地核冷却导致自转持续变慢，灾难趋于不可控，人类由此开启百万立方计划；选址胶州湾，因其集结了潮流能、地热能等多种自然资源；而总的理念只有一句话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先留出余量，再谈形状。</w:t>
      </w:r>
    </w:p>
    <w:p w14:paraId="371A05D8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这句话是理解全部创新设计的钥匙。地核冷却意味着一个根本性的变化：地球给人类的确定性正在减少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日长在变长，磁场在减弱，海洋与气候的节律在漂移，外部世界越来越不可依赖。在一个确定性流失的时代，任何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最优设计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都可能因为前提失效而崩溃；唯一不会失效的设计，是先为自己留出足够余量的设计。</w:t>
      </w:r>
    </w:p>
    <w:p w14:paraId="7C5F0D80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因此，本模块的全部创新不追求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更高效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，而追求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更有余量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并按四个维度展开：能源上留出调度余量，环境上留出生态余量，科技上留出结构与知识余量，人群上留出时间与社会余量。以下逐维说明创新设计思路；每个创新点均附可行性评估表，表中数据来自公开文献、官方报道与本项目既有计算，重要来源以网站域名注明。</w:t>
      </w:r>
    </w:p>
    <w:p w14:paraId="42AA58EE" w14:textId="77777777" w:rsidR="006C17C4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二、能源创新：留出调度余量</w:t>
      </w:r>
    </w:p>
    <w:p w14:paraId="6FC5A1A3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（一）地下热储银行：把地热井变成双向的</w:t>
      </w:r>
      <w:r>
        <w:rPr>
          <w:rFonts w:ascii="Times New Roman" w:eastAsia="黑体" w:hAnsi="Times New Roman"/>
          <w:color w:val="000000"/>
          <w:sz w:val="28"/>
          <w:lang w:eastAsia="zh-CN"/>
        </w:rPr>
        <w:t>“</w:t>
      </w:r>
      <w:r>
        <w:rPr>
          <w:rFonts w:ascii="Times New Roman" w:eastAsia="黑体" w:hAnsi="Times New Roman"/>
          <w:color w:val="000000"/>
          <w:sz w:val="28"/>
          <w:lang w:eastAsia="zh-CN"/>
        </w:rPr>
        <w:t>热库</w:t>
      </w:r>
      <w:r>
        <w:rPr>
          <w:rFonts w:ascii="Times New Roman" w:eastAsia="黑体" w:hAnsi="Times New Roman"/>
          <w:color w:val="000000"/>
          <w:sz w:val="28"/>
          <w:lang w:eastAsia="zh-CN"/>
        </w:rPr>
        <w:t>”</w:t>
      </w:r>
    </w:p>
    <w:p w14:paraId="0BD6DA50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传统地热井只按负荷取热，取多取少只看当下需求。本设计把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余量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设计在取用侧：</w:t>
      </w:r>
      <w:r>
        <w:rPr>
          <w:color w:val="000000"/>
          <w:lang w:eastAsia="zh-CN"/>
        </w:rPr>
        <w:t xml:space="preserve">2 </w:t>
      </w:r>
      <w:r>
        <w:rPr>
          <w:color w:val="000000"/>
          <w:lang w:eastAsia="zh-CN"/>
        </w:rPr>
        <w:t>对</w:t>
      </w:r>
      <w:r>
        <w:rPr>
          <w:color w:val="000000"/>
          <w:lang w:eastAsia="zh-CN"/>
        </w:rPr>
        <w:t xml:space="preserve"> EGS </w:t>
      </w:r>
      <w:r>
        <w:rPr>
          <w:color w:val="000000"/>
          <w:lang w:eastAsia="zh-CN"/>
        </w:rPr>
        <w:t>井按</w:t>
      </w:r>
      <w:r>
        <w:rPr>
          <w:color w:val="000000"/>
          <w:lang w:eastAsia="zh-CN"/>
        </w:rPr>
        <w:t xml:space="preserve"> 18% </w:t>
      </w:r>
      <w:r>
        <w:rPr>
          <w:color w:val="000000"/>
          <w:lang w:eastAsia="zh-CN"/>
        </w:rPr>
        <w:t>负荷取热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设计提取</w:t>
      </w:r>
      <w:r>
        <w:rPr>
          <w:color w:val="000000"/>
          <w:lang w:eastAsia="zh-CN"/>
        </w:rPr>
        <w:t xml:space="preserve"> 109.3 GWh_th/a</w:t>
      </w:r>
      <w:r>
        <w:rPr>
          <w:color w:val="000000"/>
          <w:lang w:eastAsia="zh-CN"/>
        </w:rPr>
        <w:t>，仅占两对井容量</w:t>
      </w:r>
      <w:r>
        <w:rPr>
          <w:color w:val="000000"/>
          <w:lang w:eastAsia="zh-CN"/>
        </w:rPr>
        <w:t xml:space="preserve"> 604 GWh_th/a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18%</w:t>
      </w:r>
      <w:r>
        <w:rPr>
          <w:color w:val="000000"/>
          <w:lang w:eastAsia="zh-CN"/>
        </w:rPr>
        <w:t>，任一对井单独运行即可顶下全部轴功；储层按</w:t>
      </w:r>
      <w:r>
        <w:rPr>
          <w:color w:val="000000"/>
          <w:lang w:eastAsia="zh-CN"/>
        </w:rPr>
        <w:t xml:space="preserve"> 1 km³ </w:t>
      </w:r>
      <w:r>
        <w:rPr>
          <w:color w:val="000000"/>
          <w:lang w:eastAsia="zh-CN"/>
        </w:rPr>
        <w:t>岩体、</w:t>
      </w:r>
      <w:r>
        <w:rPr>
          <w:color w:val="000000"/>
          <w:lang w:eastAsia="zh-CN"/>
        </w:rPr>
        <w:t xml:space="preserve">ΔT 30 K </w:t>
      </w:r>
      <w:r>
        <w:rPr>
          <w:color w:val="000000"/>
          <w:lang w:eastAsia="zh-CN"/>
        </w:rPr>
        <w:t>计可采约</w:t>
      </w:r>
      <w:r>
        <w:rPr>
          <w:color w:val="000000"/>
          <w:lang w:eastAsia="zh-CN"/>
        </w:rPr>
        <w:t xml:space="preserve"> 2.1×10⁴ GWh_th</w:t>
      </w:r>
      <w:r>
        <w:rPr>
          <w:color w:val="000000"/>
          <w:lang w:eastAsia="zh-CN"/>
        </w:rPr>
        <w:t>，按每对井</w:t>
      </w:r>
      <w:r>
        <w:rPr>
          <w:color w:val="000000"/>
          <w:lang w:eastAsia="zh-CN"/>
        </w:rPr>
        <w:t xml:space="preserve"> 54.7 GWh_th/a </w:t>
      </w:r>
      <w:r>
        <w:rPr>
          <w:color w:val="000000"/>
          <w:lang w:eastAsia="zh-CN"/>
        </w:rPr>
        <w:t>取用折合</w:t>
      </w:r>
      <w:r>
        <w:rPr>
          <w:color w:val="000000"/>
          <w:lang w:eastAsia="zh-CN"/>
        </w:rPr>
        <w:t xml:space="preserve"> 384 </w:t>
      </w:r>
      <w:r>
        <w:rPr>
          <w:color w:val="000000"/>
          <w:lang w:eastAsia="zh-CN"/>
        </w:rPr>
        <w:t>年。地热不再需要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满载</w:t>
      </w:r>
      <w:r>
        <w:rPr>
          <w:color w:val="000000"/>
          <w:lang w:eastAsia="zh-CN"/>
        </w:rPr>
        <w:t>”——</w:t>
      </w:r>
      <w:r>
        <w:rPr>
          <w:color w:val="000000"/>
          <w:lang w:eastAsia="zh-CN"/>
        </w:rPr>
        <w:t>取热有度，把</w:t>
      </w:r>
      <w:r>
        <w:rPr>
          <w:color w:val="000000"/>
          <w:lang w:eastAsia="zh-CN"/>
        </w:rPr>
        <w:t xml:space="preserve"> 82% </w:t>
      </w:r>
      <w:r>
        <w:rPr>
          <w:color w:val="000000"/>
          <w:lang w:eastAsia="zh-CN"/>
        </w:rPr>
        <w:t>的井口容量与数百年的储层寿命留给未来；跨季冷量与淡水改由冰模块承担，储热只剩高温工艺热的夜间桥接与紧急备用两项小任务。</w:t>
      </w:r>
    </w:p>
    <w:p w14:paraId="4C81D859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可行性评估：方向成立。</w:t>
      </w:r>
      <w:r>
        <w:rPr>
          <w:b/>
          <w:color w:val="000000"/>
          <w:lang w:eastAsia="zh-CN"/>
        </w:rPr>
        <w:t>EGS</w:t>
      </w:r>
      <w:r>
        <w:rPr>
          <w:b/>
          <w:color w:val="000000"/>
          <w:lang w:eastAsia="zh-CN"/>
        </w:rPr>
        <w:t>（增强型地热系统）注采循环与回注是行业标准做法，本项目创新在</w:t>
      </w:r>
      <w:r>
        <w:rPr>
          <w:b/>
          <w:color w:val="000000"/>
          <w:lang w:eastAsia="zh-CN"/>
        </w:rPr>
        <w:t>“</w:t>
      </w:r>
      <w:r>
        <w:rPr>
          <w:b/>
          <w:color w:val="000000"/>
          <w:lang w:eastAsia="zh-CN"/>
        </w:rPr>
        <w:t>取用侧余量</w:t>
      </w:r>
      <w:r>
        <w:rPr>
          <w:b/>
          <w:color w:val="000000"/>
          <w:lang w:eastAsia="zh-CN"/>
        </w:rPr>
        <w:t>”——</w:t>
      </w:r>
      <w:r>
        <w:rPr>
          <w:b/>
          <w:color w:val="000000"/>
          <w:lang w:eastAsia="zh-CN"/>
        </w:rPr>
        <w:t>低负荷率（</w:t>
      </w:r>
      <w:r>
        <w:rPr>
          <w:b/>
          <w:color w:val="000000"/>
          <w:lang w:eastAsia="zh-CN"/>
        </w:rPr>
        <w:t>18%</w:t>
      </w:r>
      <w:r>
        <w:rPr>
          <w:b/>
          <w:color w:val="000000"/>
          <w:lang w:eastAsia="zh-CN"/>
        </w:rPr>
        <w:t>）、双井互备与长储层寿命核</w:t>
      </w:r>
      <w:r>
        <w:rPr>
          <w:b/>
          <w:color w:val="000000"/>
          <w:lang w:eastAsia="zh-CN"/>
        </w:rPr>
        <w:lastRenderedPageBreak/>
        <w:t>算，而非新增储能介质；现实风险在回注结垢与诱发地震，均已有成熟工程对策（</w:t>
      </w:r>
      <w:r>
        <w:rPr>
          <w:b/>
          <w:color w:val="000000"/>
          <w:lang w:eastAsia="zh-CN"/>
        </w:rPr>
        <w:t xml:space="preserve">110 ℃ </w:t>
      </w:r>
      <w:r>
        <w:rPr>
          <w:b/>
          <w:color w:val="000000"/>
          <w:lang w:eastAsia="zh-CN"/>
        </w:rPr>
        <w:t>回注防硅酸盐结垢、限压注入与交通灯协议）。</w:t>
      </w:r>
    </w:p>
    <w:p w14:paraId="2C55AB65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1  </w:t>
      </w:r>
      <w:r>
        <w:rPr>
          <w:color w:val="000000"/>
          <w:sz w:val="21"/>
          <w:lang w:eastAsia="zh-CN"/>
        </w:rPr>
        <w:t>地热余量井群可行性评估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21707B7D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D9D0C18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CE5DCB8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59515D2D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5C9AEA9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33E32B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342C7B2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EGS</w:t>
            </w:r>
            <w:r>
              <w:rPr>
                <w:color w:val="000000"/>
                <w:sz w:val="21"/>
                <w:lang w:eastAsia="zh-CN"/>
              </w:rPr>
              <w:t>（增强型地热系统）已进入示范与早期商业阶段；注采循环与回注是行业标准做法（非新概念）</w:t>
            </w:r>
          </w:p>
        </w:tc>
        <w:tc>
          <w:tcPr>
            <w:tcW w:w="2891" w:type="dxa"/>
            <w:vAlign w:val="center"/>
          </w:tcPr>
          <w:p w14:paraId="297E98B6" w14:textId="77777777" w:rsidR="006C17C4" w:rsidRDefault="00000000">
            <w:r>
              <w:t>法国</w:t>
            </w:r>
            <w:r>
              <w:t xml:space="preserve"> Soultz-sous-Forêts</w:t>
            </w:r>
            <w:r>
              <w:t>：世界首个</w:t>
            </w:r>
            <w:r>
              <w:t xml:space="preserve"> EGS </w:t>
            </w:r>
            <w:r>
              <w:t>示范电站</w:t>
            </w:r>
          </w:p>
          <w:p w14:paraId="78B54166" w14:textId="77777777" w:rsidR="006C17C4" w:rsidRDefault="00000000">
            <w:r>
              <w:t xml:space="preserve">· </w:t>
            </w:r>
            <w:r>
              <w:t>美国</w:t>
            </w:r>
            <w:r>
              <w:t xml:space="preserve"> DOE</w:t>
            </w:r>
            <w:r>
              <w:t>：</w:t>
            </w:r>
            <w:r>
              <w:t xml:space="preserve">FORGE </w:t>
            </w:r>
            <w:r>
              <w:t>现场实验室（犹他州）</w:t>
            </w:r>
          </w:p>
        </w:tc>
      </w:tr>
      <w:tr w:rsidR="006C17C4" w14:paraId="63B35A7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E26FC3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78A6EE38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法国</w:t>
            </w:r>
            <w:r>
              <w:rPr>
                <w:color w:val="000000"/>
                <w:sz w:val="21"/>
                <w:lang w:eastAsia="zh-CN"/>
              </w:rPr>
              <w:t xml:space="preserve"> Soultz</w:t>
            </w:r>
            <w:r>
              <w:rPr>
                <w:color w:val="000000"/>
                <w:sz w:val="21"/>
                <w:lang w:eastAsia="zh-CN"/>
              </w:rPr>
              <w:t>（</w:t>
            </w:r>
            <w:r>
              <w:rPr>
                <w:color w:val="000000"/>
                <w:sz w:val="21"/>
                <w:lang w:eastAsia="zh-CN"/>
              </w:rPr>
              <w:t xml:space="preserve">3 </w:t>
            </w:r>
            <w:r>
              <w:rPr>
                <w:color w:val="000000"/>
                <w:sz w:val="21"/>
                <w:lang w:eastAsia="zh-CN"/>
              </w:rPr>
              <w:t>口井、深约</w:t>
            </w:r>
            <w:r>
              <w:rPr>
                <w:color w:val="000000"/>
                <w:sz w:val="21"/>
                <w:lang w:eastAsia="zh-CN"/>
              </w:rPr>
              <w:t xml:space="preserve"> 5 km</w:t>
            </w:r>
            <w:r>
              <w:rPr>
                <w:color w:val="000000"/>
                <w:sz w:val="21"/>
                <w:lang w:eastAsia="zh-CN"/>
              </w:rPr>
              <w:t>，</w:t>
            </w:r>
            <w:r>
              <w:rPr>
                <w:color w:val="000000"/>
                <w:sz w:val="21"/>
                <w:lang w:eastAsia="zh-CN"/>
              </w:rPr>
              <w:t xml:space="preserve">2008 </w:t>
            </w:r>
            <w:r>
              <w:rPr>
                <w:color w:val="000000"/>
                <w:sz w:val="21"/>
                <w:lang w:eastAsia="zh-CN"/>
              </w:rPr>
              <w:t>年并入电网）；美国</w:t>
            </w:r>
            <w:r>
              <w:rPr>
                <w:color w:val="000000"/>
                <w:sz w:val="21"/>
                <w:lang w:eastAsia="zh-CN"/>
              </w:rPr>
              <w:t xml:space="preserve"> FORGE </w:t>
            </w:r>
            <w:r>
              <w:rPr>
                <w:color w:val="000000"/>
                <w:sz w:val="21"/>
                <w:lang w:eastAsia="zh-CN"/>
              </w:rPr>
              <w:t>于</w:t>
            </w:r>
            <w:r>
              <w:rPr>
                <w:color w:val="000000"/>
                <w:sz w:val="21"/>
                <w:lang w:eastAsia="zh-CN"/>
              </w:rPr>
              <w:t xml:space="preserve"> 2022–2024 </w:t>
            </w:r>
            <w:r>
              <w:rPr>
                <w:color w:val="000000"/>
                <w:sz w:val="21"/>
                <w:lang w:eastAsia="zh-CN"/>
              </w:rPr>
              <w:t>年完成钻井与储层刺激；全球地热电站普遍按低负荷因子运行以延长资源寿命</w:t>
            </w:r>
          </w:p>
        </w:tc>
        <w:tc>
          <w:tcPr>
            <w:tcW w:w="2891" w:type="dxa"/>
            <w:vAlign w:val="center"/>
          </w:tcPr>
          <w:p w14:paraId="370DE08B" w14:textId="77777777" w:rsidR="006C17C4" w:rsidRDefault="00000000">
            <w:r>
              <w:t>美国能源部：</w:t>
            </w:r>
            <w:r>
              <w:t>Geothermal Technologies Office</w:t>
            </w:r>
          </w:p>
          <w:p w14:paraId="2A6BF443" w14:textId="77777777" w:rsidR="006C17C4" w:rsidRDefault="00000000">
            <w:r>
              <w:t xml:space="preserve">· </w:t>
            </w:r>
            <w:r>
              <w:t>新方案</w:t>
            </w:r>
            <w:r>
              <w:t xml:space="preserve"> §8 </w:t>
            </w:r>
            <w:r>
              <w:t>数据源（</w:t>
            </w:r>
            <w:r>
              <w:t xml:space="preserve">Zarrouk &amp; Moon 2014 </w:t>
            </w:r>
            <w:r>
              <w:t>地热电站效率基准）</w:t>
            </w:r>
          </w:p>
        </w:tc>
      </w:tr>
      <w:tr w:rsidR="006C17C4" w14:paraId="03313D1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2A1ACB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3F6BD880" w14:textId="77777777" w:rsidR="006C17C4" w:rsidRDefault="00000000">
            <w:r>
              <w:rPr>
                <w:color w:val="000000"/>
                <w:sz w:val="21"/>
              </w:rPr>
              <w:t>本项目：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对井（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口</w:t>
            </w:r>
            <w:r>
              <w:rPr>
                <w:color w:val="000000"/>
                <w:sz w:val="21"/>
              </w:rPr>
              <w:t>×12 km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253 ℃</w:t>
            </w:r>
            <w:r>
              <w:rPr>
                <w:color w:val="000000"/>
                <w:sz w:val="21"/>
              </w:rPr>
              <w:t>），设计提取</w:t>
            </w:r>
            <w:r>
              <w:rPr>
                <w:color w:val="000000"/>
                <w:sz w:val="21"/>
              </w:rPr>
              <w:t xml:space="preserve"> 109.3 GWh_th/a</w:t>
            </w:r>
            <w:r>
              <w:rPr>
                <w:color w:val="000000"/>
                <w:sz w:val="21"/>
              </w:rPr>
              <w:t>＝两对井容量</w:t>
            </w:r>
            <w:r>
              <w:rPr>
                <w:color w:val="000000"/>
                <w:sz w:val="21"/>
              </w:rPr>
              <w:t xml:space="preserve"> 604 GWh_th/a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18%</w:t>
            </w:r>
            <w:r>
              <w:rPr>
                <w:color w:val="000000"/>
                <w:sz w:val="21"/>
              </w:rPr>
              <w:t>；单对井可独立顶下全部轴功（负荷</w:t>
            </w:r>
            <w:r>
              <w:rPr>
                <w:color w:val="000000"/>
                <w:sz w:val="21"/>
              </w:rPr>
              <w:t xml:space="preserve"> 36%</w:t>
            </w:r>
            <w:r>
              <w:rPr>
                <w:color w:val="000000"/>
                <w:sz w:val="21"/>
              </w:rPr>
              <w:t>）；储层可采</w:t>
            </w:r>
            <w:r>
              <w:rPr>
                <w:color w:val="000000"/>
                <w:sz w:val="21"/>
              </w:rPr>
              <w:t xml:space="preserve"> 2.1×10⁴ GWh_th</w:t>
            </w:r>
            <w:r>
              <w:rPr>
                <w:color w:val="000000"/>
                <w:sz w:val="21"/>
              </w:rPr>
              <w:t>，折合</w:t>
            </w:r>
            <w:r>
              <w:rPr>
                <w:color w:val="000000"/>
                <w:sz w:val="21"/>
              </w:rPr>
              <w:t xml:space="preserve"> 384 </w:t>
            </w:r>
            <w:r>
              <w:rPr>
                <w:color w:val="000000"/>
                <w:sz w:val="21"/>
              </w:rPr>
              <w:t>年</w:t>
            </w:r>
          </w:p>
        </w:tc>
        <w:tc>
          <w:tcPr>
            <w:tcW w:w="2891" w:type="dxa"/>
            <w:vAlign w:val="center"/>
          </w:tcPr>
          <w:p w14:paraId="275D6F42" w14:textId="77777777" w:rsidR="006C17C4" w:rsidRDefault="00000000">
            <w:r>
              <w:t>本项目新方案（内部计算，</w:t>
            </w:r>
            <w:r>
              <w:t>§2.3/§3.3</w:t>
            </w:r>
            <w:r>
              <w:t>）</w:t>
            </w:r>
          </w:p>
        </w:tc>
      </w:tr>
      <w:tr w:rsidR="006C17C4" w14:paraId="6E31878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3024712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596D4698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回注</w:t>
            </w:r>
            <w:r>
              <w:rPr>
                <w:color w:val="000000"/>
                <w:sz w:val="21"/>
                <w:lang w:eastAsia="zh-CN"/>
              </w:rPr>
              <w:t xml:space="preserve"> 110 ℃ </w:t>
            </w:r>
            <w:r>
              <w:rPr>
                <w:color w:val="000000"/>
                <w:sz w:val="21"/>
                <w:lang w:eastAsia="zh-CN"/>
              </w:rPr>
              <w:t>防硅酸盐结垢（闭式回路、低硅工质、阻垢剂与定期酸洗）；诱发地震须逐井断层探测＋限压注入＋实时监测的交通灯协议（浦项</w:t>
            </w:r>
            <w:r>
              <w:rPr>
                <w:color w:val="000000"/>
                <w:sz w:val="21"/>
                <w:lang w:eastAsia="zh-CN"/>
              </w:rPr>
              <w:t xml:space="preserve"> 2017 </w:t>
            </w:r>
            <w:r>
              <w:rPr>
                <w:color w:val="000000"/>
                <w:sz w:val="21"/>
                <w:lang w:eastAsia="zh-CN"/>
              </w:rPr>
              <w:t>年</w:t>
            </w:r>
            <w:r>
              <w:rPr>
                <w:color w:val="000000"/>
                <w:sz w:val="21"/>
                <w:lang w:eastAsia="zh-CN"/>
              </w:rPr>
              <w:t xml:space="preserve"> Mw 5.5 </w:t>
            </w:r>
            <w:r>
              <w:rPr>
                <w:color w:val="000000"/>
                <w:sz w:val="21"/>
                <w:lang w:eastAsia="zh-CN"/>
              </w:rPr>
              <w:t>事件教训）</w:t>
            </w:r>
          </w:p>
        </w:tc>
        <w:tc>
          <w:tcPr>
            <w:tcW w:w="2891" w:type="dxa"/>
            <w:vAlign w:val="center"/>
          </w:tcPr>
          <w:p w14:paraId="503A29E2" w14:textId="77777777" w:rsidR="006C17C4" w:rsidRDefault="00000000">
            <w:pPr>
              <w:rPr>
                <w:lang w:eastAsia="zh-CN"/>
              </w:rPr>
            </w:pPr>
            <w:r>
              <w:t>Gunnarsson &amp; Arnórsson, Geothermics 34, 320–329 (2005)</w:t>
            </w:r>
          </w:p>
          <w:p w14:paraId="626595D2" w14:textId="77777777" w:rsidR="006C17C4" w:rsidRDefault="00000000">
            <w:pPr>
              <w:rPr>
                <w:lang w:eastAsia="zh-CN"/>
              </w:rPr>
            </w:pPr>
            <w:r>
              <w:t>· Grigoli et al., Science 360, 1003–1006 (2018)</w:t>
            </w:r>
          </w:p>
        </w:tc>
      </w:tr>
      <w:tr w:rsidR="006C17C4" w14:paraId="701A1BA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D28677B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1216D133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低负荷率＋双井互备＋长储层寿命，是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可失的界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（凡单点必被占领）在能源侧的兑现；跨季冷量与淡水由冰模块承担</w:t>
            </w:r>
          </w:p>
        </w:tc>
        <w:tc>
          <w:tcPr>
            <w:tcW w:w="2891" w:type="dxa"/>
            <w:vAlign w:val="center"/>
          </w:tcPr>
          <w:p w14:paraId="10643A37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094B5A4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4A3E768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0EF13F80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美国能源部地热技术办公室；</w:t>
            </w:r>
            <w:r>
              <w:rPr>
                <w:color w:val="000000"/>
                <w:sz w:val="21"/>
                <w:lang w:eastAsia="zh-CN"/>
              </w:rPr>
              <w:t>Grigoli et al. Science 2018</w:t>
            </w:r>
            <w:r>
              <w:rPr>
                <w:color w:val="000000"/>
                <w:sz w:val="21"/>
                <w:lang w:eastAsia="zh-CN"/>
              </w:rPr>
              <w:t>；</w:t>
            </w:r>
            <w:r>
              <w:rPr>
                <w:color w:val="000000"/>
                <w:sz w:val="21"/>
                <w:lang w:eastAsia="zh-CN"/>
              </w:rPr>
              <w:t>Gunnarsson &amp; Arnórsson 2005</w:t>
            </w:r>
            <w:r>
              <w:rPr>
                <w:color w:val="000000"/>
                <w:sz w:val="21"/>
                <w:lang w:eastAsia="zh-CN"/>
              </w:rPr>
              <w:t>；本项目新方案</w:t>
            </w:r>
          </w:p>
        </w:tc>
        <w:tc>
          <w:tcPr>
            <w:tcW w:w="2891" w:type="dxa"/>
            <w:vAlign w:val="center"/>
          </w:tcPr>
          <w:p w14:paraId="581DC640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2AD3CF4E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（二）长夜适应型光储链：为漂移的昼夜留出弹性</w:t>
      </w:r>
    </w:p>
    <w:p w14:paraId="1AC4B7EF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针对日长变长且不稳定，太阳能利用建立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白日储能、长夜放能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的完整链条：白日由导光管直采、熔盐储热桥接高温工艺热、</w:t>
      </w:r>
      <w:r>
        <w:rPr>
          <w:color w:val="000000"/>
          <w:lang w:eastAsia="zh-CN"/>
        </w:rPr>
        <w:t xml:space="preserve">CaO </w:t>
      </w:r>
      <w:r>
        <w:rPr>
          <w:color w:val="000000"/>
          <w:lang w:eastAsia="zh-CN"/>
        </w:rPr>
        <w:t>化学储热应急兜底，夜间以磷光提供环境照明、以储热维持温室与热水。信息层相应实施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昼夜调度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：算力与电解等弹性负荷自动向白昼迁移，长夜只保留生命维持与医疗的最低负荷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世界不是为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平均的一天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设计，而是为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最长的一夜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设计。</w:t>
      </w:r>
    </w:p>
    <w:p w14:paraId="07D10213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可行性评估：熔盐储热为商业化成熟技术（中国首个百兆瓦级塔式光热电站已连续运行数年）；</w:t>
      </w:r>
      <w:r>
        <w:rPr>
          <w:b/>
          <w:color w:val="000000"/>
          <w:lang w:eastAsia="zh-CN"/>
        </w:rPr>
        <w:t xml:space="preserve">CaO </w:t>
      </w:r>
      <w:r>
        <w:rPr>
          <w:b/>
          <w:color w:val="000000"/>
          <w:lang w:eastAsia="zh-CN"/>
        </w:rPr>
        <w:t>化学储热仍处中试（</w:t>
      </w:r>
      <w:r>
        <w:rPr>
          <w:b/>
          <w:color w:val="000000"/>
          <w:lang w:eastAsia="zh-CN"/>
        </w:rPr>
        <w:t>TRL 4–5</w:t>
      </w:r>
      <w:r>
        <w:rPr>
          <w:b/>
          <w:color w:val="000000"/>
          <w:lang w:eastAsia="zh-CN"/>
        </w:rPr>
        <w:t>）；长余辉照明与导光管均为成熟商用产品。整链可行，风险主要在化学储热的工程放大。</w:t>
      </w:r>
    </w:p>
    <w:p w14:paraId="784959DB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2  </w:t>
      </w:r>
      <w:r>
        <w:rPr>
          <w:color w:val="000000"/>
          <w:sz w:val="21"/>
          <w:lang w:eastAsia="zh-CN"/>
        </w:rPr>
        <w:t>长夜适应型光储链可行性评估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7BFF5A9B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31092749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lastRenderedPageBreak/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4734F7C2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561197F4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54F54F7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E43ECE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5EE38E9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熔盐储热商业成熟；</w:t>
            </w:r>
            <w:r>
              <w:rPr>
                <w:color w:val="000000"/>
                <w:sz w:val="21"/>
                <w:lang w:eastAsia="zh-CN"/>
              </w:rPr>
              <w:t xml:space="preserve">CaO/CaCO₃ </w:t>
            </w:r>
            <w:r>
              <w:rPr>
                <w:color w:val="000000"/>
                <w:sz w:val="21"/>
                <w:lang w:eastAsia="zh-CN"/>
              </w:rPr>
              <w:t>化学储热中试（</w:t>
            </w:r>
            <w:r>
              <w:rPr>
                <w:color w:val="000000"/>
                <w:sz w:val="21"/>
                <w:lang w:eastAsia="zh-CN"/>
              </w:rPr>
              <w:t xml:space="preserve">10 kW </w:t>
            </w:r>
            <w:r>
              <w:rPr>
                <w:color w:val="000000"/>
                <w:sz w:val="21"/>
                <w:lang w:eastAsia="zh-CN"/>
              </w:rPr>
              <w:t>级、</w:t>
            </w:r>
            <w:r>
              <w:rPr>
                <w:color w:val="000000"/>
                <w:sz w:val="21"/>
                <w:lang w:eastAsia="zh-CN"/>
              </w:rPr>
              <w:t>TRL 4–5</w:t>
            </w:r>
            <w:r>
              <w:rPr>
                <w:color w:val="000000"/>
                <w:sz w:val="21"/>
                <w:lang w:eastAsia="zh-CN"/>
              </w:rPr>
              <w:t>）；</w:t>
            </w:r>
            <w:r>
              <w:rPr>
                <w:color w:val="000000"/>
                <w:sz w:val="21"/>
                <w:lang w:eastAsia="zh-CN"/>
              </w:rPr>
              <w:t xml:space="preserve">SrAl₂O₄:Eu,Dy </w:t>
            </w:r>
            <w:r>
              <w:rPr>
                <w:color w:val="000000"/>
                <w:sz w:val="21"/>
                <w:lang w:eastAsia="zh-CN"/>
              </w:rPr>
              <w:t>长余辉与导光管为成熟商用产品</w:t>
            </w:r>
          </w:p>
        </w:tc>
        <w:tc>
          <w:tcPr>
            <w:tcW w:w="2891" w:type="dxa"/>
            <w:vAlign w:val="center"/>
          </w:tcPr>
          <w:p w14:paraId="5AE3082E" w14:textId="77777777" w:rsidR="006C17C4" w:rsidRDefault="006C17C4">
            <w:pPr>
              <w:rPr>
                <w:lang w:eastAsia="zh-CN"/>
              </w:rPr>
            </w:pPr>
            <w:hyperlink r:id="rId6">
              <w:r>
                <w:rPr>
                  <w:color w:val="0000FF" w:themeColor="hyperlink"/>
                  <w:sz w:val="18"/>
                  <w:lang w:eastAsia="zh-CN"/>
                </w:rPr>
                <w:t>MDPI Energies</w:t>
              </w:r>
              <w:r>
                <w:rPr>
                  <w:color w:val="0000FF" w:themeColor="hyperlink"/>
                  <w:sz w:val="18"/>
                  <w:lang w:eastAsia="zh-CN"/>
                </w:rPr>
                <w:t>：</w:t>
              </w:r>
              <w:r>
                <w:rPr>
                  <w:color w:val="0000FF" w:themeColor="hyperlink"/>
                  <w:sz w:val="18"/>
                  <w:lang w:eastAsia="zh-CN"/>
                </w:rPr>
                <w:t xml:space="preserve">CaO/CaCO₃ </w:t>
              </w:r>
              <w:r>
                <w:rPr>
                  <w:color w:val="0000FF" w:themeColor="hyperlink"/>
                  <w:sz w:val="18"/>
                  <w:lang w:eastAsia="zh-CN"/>
                </w:rPr>
                <w:t>热化学储热综述</w:t>
              </w:r>
            </w:hyperlink>
          </w:p>
          <w:p w14:paraId="52BDC32C" w14:textId="77777777" w:rsidR="006C17C4" w:rsidRDefault="006C17C4">
            <w:pPr>
              <w:rPr>
                <w:lang w:eastAsia="zh-CN"/>
              </w:rPr>
            </w:pPr>
            <w:hyperlink r:id="rId7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科技大数据平台：铝酸锶长余辉材料研究</w:t>
              </w:r>
            </w:hyperlink>
          </w:p>
        </w:tc>
      </w:tr>
      <w:tr w:rsidR="006C17C4" w14:paraId="750ECC7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1F76CD0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6C1651C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首航高科敦煌</w:t>
            </w:r>
            <w:r>
              <w:rPr>
                <w:color w:val="000000"/>
                <w:sz w:val="21"/>
                <w:lang w:eastAsia="zh-CN"/>
              </w:rPr>
              <w:t xml:space="preserve"> 100 MW </w:t>
            </w:r>
            <w:r>
              <w:rPr>
                <w:color w:val="000000"/>
                <w:sz w:val="21"/>
                <w:lang w:eastAsia="zh-CN"/>
              </w:rPr>
              <w:t>熔盐塔式光热电站（</w:t>
            </w:r>
            <w:r>
              <w:rPr>
                <w:color w:val="000000"/>
                <w:sz w:val="21"/>
                <w:lang w:eastAsia="zh-CN"/>
              </w:rPr>
              <w:t xml:space="preserve">2018 </w:t>
            </w:r>
            <w:r>
              <w:rPr>
                <w:color w:val="000000"/>
                <w:sz w:val="21"/>
                <w:lang w:eastAsia="zh-CN"/>
              </w:rPr>
              <w:t>年并网），</w:t>
            </w:r>
            <w:r>
              <w:rPr>
                <w:color w:val="000000"/>
                <w:sz w:val="21"/>
                <w:lang w:eastAsia="zh-CN"/>
              </w:rPr>
              <w:t xml:space="preserve">11 </w:t>
            </w:r>
            <w:r>
              <w:rPr>
                <w:color w:val="000000"/>
                <w:sz w:val="21"/>
                <w:lang w:eastAsia="zh-CN"/>
              </w:rPr>
              <w:t>小时熔盐储热、</w:t>
            </w:r>
            <w:r>
              <w:rPr>
                <w:color w:val="000000"/>
                <w:sz w:val="21"/>
                <w:lang w:eastAsia="zh-CN"/>
              </w:rPr>
              <w:t xml:space="preserve">24 </w:t>
            </w:r>
            <w:r>
              <w:rPr>
                <w:color w:val="000000"/>
                <w:sz w:val="21"/>
                <w:lang w:eastAsia="zh-CN"/>
              </w:rPr>
              <w:t>小时连续发电；中科院工程热物理所钙基热化学储能材料研究</w:t>
            </w:r>
          </w:p>
        </w:tc>
        <w:tc>
          <w:tcPr>
            <w:tcW w:w="2891" w:type="dxa"/>
            <w:vAlign w:val="center"/>
          </w:tcPr>
          <w:p w14:paraId="2F4D61C5" w14:textId="77777777" w:rsidR="006C17C4" w:rsidRDefault="006C17C4">
            <w:pPr>
              <w:rPr>
                <w:lang w:eastAsia="zh-CN"/>
              </w:rPr>
            </w:pPr>
            <w:hyperlink r:id="rId8">
              <w:r>
                <w:rPr>
                  <w:color w:val="0000FF" w:themeColor="hyperlink"/>
                  <w:sz w:val="18"/>
                  <w:lang w:eastAsia="zh-CN"/>
                </w:rPr>
                <w:t>首航高科官网：敦煌</w:t>
              </w:r>
              <w:r>
                <w:rPr>
                  <w:color w:val="0000FF" w:themeColor="hyperlink"/>
                  <w:sz w:val="18"/>
                  <w:lang w:eastAsia="zh-CN"/>
                </w:rPr>
                <w:t>100MW</w:t>
              </w:r>
              <w:r>
                <w:rPr>
                  <w:color w:val="0000FF" w:themeColor="hyperlink"/>
                  <w:sz w:val="18"/>
                  <w:lang w:eastAsia="zh-CN"/>
                </w:rPr>
                <w:t>光热电站</w:t>
              </w:r>
            </w:hyperlink>
          </w:p>
          <w:p w14:paraId="46AC87E0" w14:textId="77777777" w:rsidR="006C17C4" w:rsidRDefault="006C17C4">
            <w:pPr>
              <w:rPr>
                <w:lang w:eastAsia="zh-CN"/>
              </w:rPr>
            </w:pPr>
            <w:hyperlink r:id="rId9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人民日报：敦煌光热电站报道</w:t>
              </w:r>
            </w:hyperlink>
          </w:p>
          <w:p w14:paraId="63E576E3" w14:textId="77777777" w:rsidR="006C17C4" w:rsidRDefault="006C17C4">
            <w:pPr>
              <w:rPr>
                <w:lang w:eastAsia="zh-CN"/>
              </w:rPr>
            </w:pPr>
            <w:hyperlink r:id="rId10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中科院工程热物理研究所</w:t>
              </w:r>
            </w:hyperlink>
          </w:p>
        </w:tc>
      </w:tr>
      <w:tr w:rsidR="006C17C4" w14:paraId="762EA56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3C7B213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2F0754A7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敦煌电站：储能约</w:t>
            </w:r>
            <w:r>
              <w:rPr>
                <w:color w:val="000000"/>
                <w:sz w:val="21"/>
                <w:lang w:eastAsia="zh-CN"/>
              </w:rPr>
              <w:t xml:space="preserve"> 2 400 MWh</w:t>
            </w:r>
            <w:r>
              <w:rPr>
                <w:color w:val="000000"/>
                <w:sz w:val="21"/>
                <w:lang w:eastAsia="zh-CN"/>
              </w:rPr>
              <w:t>、年发电约</w:t>
            </w:r>
            <w:r>
              <w:rPr>
                <w:color w:val="000000"/>
                <w:sz w:val="21"/>
                <w:lang w:eastAsia="zh-CN"/>
              </w:rPr>
              <w:t xml:space="preserve"> 3.9 </w:t>
            </w:r>
            <w:r>
              <w:rPr>
                <w:color w:val="000000"/>
                <w:sz w:val="21"/>
                <w:lang w:eastAsia="zh-CN"/>
              </w:rPr>
              <w:t>亿</w:t>
            </w:r>
            <w:r>
              <w:rPr>
                <w:color w:val="000000"/>
                <w:sz w:val="21"/>
                <w:lang w:eastAsia="zh-CN"/>
              </w:rPr>
              <w:t xml:space="preserve"> kWh</w:t>
            </w:r>
            <w:r>
              <w:rPr>
                <w:color w:val="000000"/>
                <w:sz w:val="21"/>
                <w:lang w:eastAsia="zh-CN"/>
              </w:rPr>
              <w:t>、熔盐约</w:t>
            </w:r>
            <w:r>
              <w:rPr>
                <w:color w:val="000000"/>
                <w:sz w:val="21"/>
                <w:lang w:eastAsia="zh-CN"/>
              </w:rPr>
              <w:t xml:space="preserve"> 3 </w:t>
            </w:r>
            <w:r>
              <w:rPr>
                <w:color w:val="000000"/>
                <w:sz w:val="21"/>
                <w:lang w:eastAsia="zh-CN"/>
              </w:rPr>
              <w:t>万吨；可用功密度（本项目口径）</w:t>
            </w:r>
            <w:r>
              <w:rPr>
                <w:color w:val="000000"/>
                <w:sz w:val="21"/>
                <w:lang w:eastAsia="zh-CN"/>
              </w:rPr>
              <w:t xml:space="preserve">CaO/CaCO₃ </w:t>
            </w:r>
            <w:r>
              <w:rPr>
                <w:color w:val="000000"/>
                <w:sz w:val="21"/>
                <w:lang w:eastAsia="zh-CN"/>
              </w:rPr>
              <w:t>约</w:t>
            </w:r>
            <w:r>
              <w:rPr>
                <w:color w:val="000000"/>
                <w:sz w:val="21"/>
                <w:lang w:eastAsia="zh-CN"/>
              </w:rPr>
              <w:t xml:space="preserve"> 1.12 GJ/m³</w:t>
            </w:r>
            <w:r>
              <w:rPr>
                <w:color w:val="000000"/>
                <w:sz w:val="21"/>
                <w:lang w:eastAsia="zh-CN"/>
              </w:rPr>
              <w:t>、商业熔盐约</w:t>
            </w:r>
            <w:r>
              <w:rPr>
                <w:color w:val="000000"/>
                <w:sz w:val="21"/>
                <w:lang w:eastAsia="zh-CN"/>
              </w:rPr>
              <w:t xml:space="preserve"> 0.22 GJ/m³</w:t>
            </w:r>
            <w:r>
              <w:rPr>
                <w:color w:val="000000"/>
                <w:sz w:val="21"/>
                <w:lang w:eastAsia="zh-CN"/>
              </w:rPr>
              <w:t>；长余辉材料余辉时长超过</w:t>
            </w:r>
            <w:r>
              <w:rPr>
                <w:color w:val="000000"/>
                <w:sz w:val="21"/>
                <w:lang w:eastAsia="zh-CN"/>
              </w:rPr>
              <w:t xml:space="preserve"> 12 </w:t>
            </w:r>
            <w:r>
              <w:rPr>
                <w:color w:val="000000"/>
                <w:sz w:val="21"/>
                <w:lang w:eastAsia="zh-CN"/>
              </w:rPr>
              <w:t>小时</w:t>
            </w:r>
          </w:p>
        </w:tc>
        <w:tc>
          <w:tcPr>
            <w:tcW w:w="2891" w:type="dxa"/>
            <w:vAlign w:val="center"/>
          </w:tcPr>
          <w:p w14:paraId="474744AA" w14:textId="77777777" w:rsidR="006C17C4" w:rsidRDefault="006C17C4">
            <w:pPr>
              <w:rPr>
                <w:lang w:eastAsia="zh-CN"/>
              </w:rPr>
            </w:pPr>
            <w:hyperlink r:id="rId11">
              <w:r>
                <w:rPr>
                  <w:color w:val="0000FF" w:themeColor="hyperlink"/>
                  <w:sz w:val="18"/>
                  <w:lang w:eastAsia="zh-CN"/>
                </w:rPr>
                <w:t>MDPI Energies</w:t>
              </w:r>
              <w:r>
                <w:rPr>
                  <w:color w:val="0000FF" w:themeColor="hyperlink"/>
                  <w:sz w:val="18"/>
                  <w:lang w:eastAsia="zh-CN"/>
                </w:rPr>
                <w:t>：</w:t>
              </w:r>
              <w:r>
                <w:rPr>
                  <w:color w:val="0000FF" w:themeColor="hyperlink"/>
                  <w:sz w:val="18"/>
                  <w:lang w:eastAsia="zh-CN"/>
                </w:rPr>
                <w:t xml:space="preserve">CaO/CaCO₃ </w:t>
              </w:r>
              <w:r>
                <w:rPr>
                  <w:color w:val="0000FF" w:themeColor="hyperlink"/>
                  <w:sz w:val="18"/>
                  <w:lang w:eastAsia="zh-CN"/>
                </w:rPr>
                <w:t>储热密度</w:t>
              </w:r>
              <w:r>
                <w:rPr>
                  <w:color w:val="0000FF" w:themeColor="hyperlink"/>
                  <w:sz w:val="18"/>
                  <w:lang w:eastAsia="zh-CN"/>
                </w:rPr>
                <w:t xml:space="preserve"> 3.2 GJ/m³</w:t>
              </w:r>
            </w:hyperlink>
          </w:p>
          <w:p w14:paraId="1421F7DD" w14:textId="77777777" w:rsidR="006C17C4" w:rsidRDefault="006C17C4">
            <w:pPr>
              <w:rPr>
                <w:lang w:eastAsia="zh-CN"/>
              </w:rPr>
            </w:pPr>
            <w:hyperlink r:id="rId12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中国科协：新型电力系统长时储能技术综述</w:t>
              </w:r>
            </w:hyperlink>
          </w:p>
        </w:tc>
      </w:tr>
      <w:tr w:rsidR="006C17C4" w14:paraId="0BD5C110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68C9BF6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0B481F16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化学储热尚难大规模商用（循环稳定性、反应器放大）；熔盐凝固点约</w:t>
            </w:r>
            <w:r>
              <w:rPr>
                <w:color w:val="000000"/>
                <w:sz w:val="21"/>
                <w:lang w:eastAsia="zh-CN"/>
              </w:rPr>
              <w:t xml:space="preserve"> 240 ℃</w:t>
            </w:r>
            <w:r>
              <w:rPr>
                <w:color w:val="000000"/>
                <w:sz w:val="21"/>
                <w:lang w:eastAsia="zh-CN"/>
              </w:rPr>
              <w:t>，长夜低温需防冻保温；磷光仅作环境照明，不替代主照明</w:t>
            </w:r>
          </w:p>
        </w:tc>
        <w:tc>
          <w:tcPr>
            <w:tcW w:w="2891" w:type="dxa"/>
            <w:vAlign w:val="center"/>
          </w:tcPr>
          <w:p w14:paraId="68DD4610" w14:textId="77777777" w:rsidR="006C17C4" w:rsidRDefault="006C17C4">
            <w:hyperlink r:id="rId13">
              <w:r>
                <w:rPr>
                  <w:color w:val="0000FF" w:themeColor="hyperlink"/>
                  <w:sz w:val="18"/>
                </w:rPr>
                <w:t>MDPI Energies</w:t>
              </w:r>
              <w:r>
                <w:rPr>
                  <w:color w:val="0000FF" w:themeColor="hyperlink"/>
                  <w:sz w:val="18"/>
                </w:rPr>
                <w:t>：化学储热工程化挑战</w:t>
              </w:r>
            </w:hyperlink>
          </w:p>
        </w:tc>
      </w:tr>
      <w:tr w:rsidR="006C17C4" w14:paraId="27BF299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25C2FD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45A451A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白日储能</w:t>
            </w:r>
            <w:r>
              <w:rPr>
                <w:color w:val="000000"/>
                <w:sz w:val="21"/>
                <w:lang w:eastAsia="zh-CN"/>
              </w:rPr>
              <w:t>—</w:t>
            </w:r>
            <w:r>
              <w:rPr>
                <w:color w:val="000000"/>
                <w:sz w:val="21"/>
                <w:lang w:eastAsia="zh-CN"/>
              </w:rPr>
              <w:t>长夜放能，配平信息层</w:t>
            </w:r>
            <w:r>
              <w:rPr>
                <w:color w:val="000000"/>
                <w:sz w:val="21"/>
                <w:lang w:eastAsia="zh-CN"/>
              </w:rPr>
              <w:t xml:space="preserve"> 5.0 GWh </w:t>
            </w:r>
            <w:r>
              <w:rPr>
                <w:color w:val="000000"/>
                <w:sz w:val="21"/>
                <w:lang w:eastAsia="zh-CN"/>
              </w:rPr>
              <w:t>弹性负荷；储热容量（熔盐约</w:t>
            </w:r>
            <w:r>
              <w:rPr>
                <w:color w:val="000000"/>
                <w:sz w:val="21"/>
                <w:lang w:eastAsia="zh-CN"/>
              </w:rPr>
              <w:t xml:space="preserve"> 200 m³</w:t>
            </w:r>
            <w:r>
              <w:rPr>
                <w:color w:val="000000"/>
                <w:sz w:val="21"/>
                <w:lang w:eastAsia="zh-CN"/>
              </w:rPr>
              <w:t>＋</w:t>
            </w:r>
            <w:r>
              <w:rPr>
                <w:color w:val="000000"/>
                <w:sz w:val="21"/>
                <w:lang w:eastAsia="zh-CN"/>
              </w:rPr>
              <w:t xml:space="preserve">CaO </w:t>
            </w:r>
            <w:r>
              <w:rPr>
                <w:color w:val="000000"/>
                <w:sz w:val="21"/>
                <w:lang w:eastAsia="zh-CN"/>
              </w:rPr>
              <w:t>约</w:t>
            </w:r>
            <w:r>
              <w:rPr>
                <w:color w:val="000000"/>
                <w:sz w:val="21"/>
                <w:lang w:eastAsia="zh-CN"/>
              </w:rPr>
              <w:t xml:space="preserve"> 50 m³</w:t>
            </w:r>
            <w:r>
              <w:rPr>
                <w:color w:val="000000"/>
                <w:sz w:val="21"/>
                <w:lang w:eastAsia="zh-CN"/>
              </w:rPr>
              <w:t>）按长夜过渡需求配置</w:t>
            </w:r>
          </w:p>
        </w:tc>
        <w:tc>
          <w:tcPr>
            <w:tcW w:w="2891" w:type="dxa"/>
            <w:vAlign w:val="center"/>
          </w:tcPr>
          <w:p w14:paraId="4BDE3C61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67FD601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BAC0D60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428A158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首航高科官网；人民日报；科技导报；</w:t>
            </w:r>
            <w:r>
              <w:rPr>
                <w:color w:val="000000"/>
                <w:sz w:val="21"/>
                <w:lang w:eastAsia="zh-CN"/>
              </w:rPr>
              <w:t>MDPI</w:t>
            </w:r>
            <w:r>
              <w:rPr>
                <w:color w:val="000000"/>
                <w:sz w:val="21"/>
                <w:lang w:eastAsia="zh-CN"/>
              </w:rPr>
              <w:t>；中科院工程热物理所</w:t>
            </w:r>
          </w:p>
        </w:tc>
        <w:tc>
          <w:tcPr>
            <w:tcW w:w="2891" w:type="dxa"/>
            <w:vAlign w:val="center"/>
          </w:tcPr>
          <w:p w14:paraId="4669E830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7E5C2659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（三）潮汐适应型潮流机组：跟着变慢的海水走</w:t>
      </w:r>
    </w:p>
    <w:p w14:paraId="303815ED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自转变慢改变着潮汐的周期与流速。潮流机组采用导流罩与变速直驱结构，叶片与控制系统实时适应漂移的潮周期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潮汐快则满发，潮汐慢则降载，从不强行索取超出当前水流的功率。潮流能的角色从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锦上添花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升格为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不确定性时代的弹性保险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：装机容量高于日常需要，实际提取率仍远低于理论上限。</w:t>
      </w:r>
    </w:p>
    <w:p w14:paraId="72ADE6A8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可行性评估：潮流能发电已进入商业化示范阶段</w:t>
      </w:r>
      <w:r>
        <w:rPr>
          <w:b/>
          <w:color w:val="000000"/>
          <w:lang w:eastAsia="zh-CN"/>
        </w:rPr>
        <w:t>——</w:t>
      </w:r>
      <w:r>
        <w:rPr>
          <w:b/>
          <w:color w:val="000000"/>
          <w:lang w:eastAsia="zh-CN"/>
        </w:rPr>
        <w:t>全球最大潮流能阵列已在苏格兰连续发电多年；导流罩与变速直驱是主流技术路线。风险在海洋强流环境的运维成本与机组寿命。</w:t>
      </w:r>
    </w:p>
    <w:p w14:paraId="1476B8C4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3  </w:t>
      </w:r>
      <w:r>
        <w:rPr>
          <w:color w:val="000000"/>
          <w:sz w:val="21"/>
          <w:lang w:eastAsia="zh-CN"/>
        </w:rPr>
        <w:t>潮汐适应型潮流机组可行性评估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6BF52BE9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299AE2E3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5FEF455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10F040DE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148DE0D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7A26A6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6CD7D1E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潮流能商业化示范阶段：全球最大阵列已运营；变速直驱、重力基础为成熟路线</w:t>
            </w:r>
          </w:p>
        </w:tc>
        <w:tc>
          <w:tcPr>
            <w:tcW w:w="2891" w:type="dxa"/>
            <w:vAlign w:val="center"/>
          </w:tcPr>
          <w:p w14:paraId="2E9C230C" w14:textId="77777777" w:rsidR="006C17C4" w:rsidRDefault="006C17C4">
            <w:hyperlink r:id="rId14">
              <w:r>
                <w:rPr>
                  <w:color w:val="0000FF" w:themeColor="hyperlink"/>
                  <w:sz w:val="18"/>
                </w:rPr>
                <w:t xml:space="preserve">MeyGen </w:t>
              </w:r>
              <w:r>
                <w:rPr>
                  <w:color w:val="0000FF" w:themeColor="hyperlink"/>
                  <w:sz w:val="18"/>
                </w:rPr>
                <w:t>官方网站</w:t>
              </w:r>
            </w:hyperlink>
          </w:p>
          <w:p w14:paraId="36F949B8" w14:textId="77777777" w:rsidR="006C17C4" w:rsidRDefault="006C17C4">
            <w:hyperlink r:id="rId15">
              <w:r>
                <w:rPr>
                  <w:color w:val="0000FF" w:themeColor="hyperlink"/>
                  <w:sz w:val="18"/>
                </w:rPr>
                <w:t xml:space="preserve">· MeyGen </w:t>
              </w:r>
              <w:r>
                <w:rPr>
                  <w:color w:val="0000FF" w:themeColor="hyperlink"/>
                  <w:sz w:val="18"/>
                </w:rPr>
                <w:t>项目数据页</w:t>
              </w:r>
            </w:hyperlink>
          </w:p>
        </w:tc>
      </w:tr>
      <w:tr w:rsidR="006C17C4" w14:paraId="2676BD8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1F6D55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156370E1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英国</w:t>
            </w:r>
            <w:r>
              <w:rPr>
                <w:color w:val="000000"/>
                <w:sz w:val="21"/>
                <w:lang w:eastAsia="zh-CN"/>
              </w:rPr>
              <w:t xml:space="preserve"> MeyGen </w:t>
            </w:r>
            <w:r>
              <w:rPr>
                <w:color w:val="000000"/>
                <w:sz w:val="21"/>
                <w:lang w:eastAsia="zh-CN"/>
              </w:rPr>
              <w:t>一期</w:t>
            </w:r>
            <w:r>
              <w:rPr>
                <w:color w:val="000000"/>
                <w:sz w:val="21"/>
                <w:lang w:eastAsia="zh-CN"/>
              </w:rPr>
              <w:t xml:space="preserve"> 6 MW</w:t>
            </w:r>
            <w:r>
              <w:rPr>
                <w:color w:val="000000"/>
                <w:sz w:val="21"/>
                <w:lang w:eastAsia="zh-CN"/>
              </w:rPr>
              <w:t>（</w:t>
            </w:r>
            <w:r>
              <w:rPr>
                <w:color w:val="000000"/>
                <w:sz w:val="21"/>
                <w:lang w:eastAsia="zh-CN"/>
              </w:rPr>
              <w:t>4×1.5 MW</w:t>
            </w:r>
            <w:r>
              <w:rPr>
                <w:color w:val="000000"/>
                <w:sz w:val="21"/>
                <w:lang w:eastAsia="zh-CN"/>
              </w:rPr>
              <w:t>，</w:t>
            </w:r>
            <w:r>
              <w:rPr>
                <w:color w:val="000000"/>
                <w:sz w:val="21"/>
                <w:lang w:eastAsia="zh-CN"/>
              </w:rPr>
              <w:t xml:space="preserve">2016 </w:t>
            </w:r>
            <w:r>
              <w:rPr>
                <w:color w:val="000000"/>
                <w:sz w:val="21"/>
                <w:lang w:eastAsia="zh-CN"/>
              </w:rPr>
              <w:t>年</w:t>
            </w:r>
            <w:r>
              <w:rPr>
                <w:color w:val="000000"/>
                <w:sz w:val="21"/>
                <w:lang w:eastAsia="zh-CN"/>
              </w:rPr>
              <w:t xml:space="preserve"> 11 </w:t>
            </w:r>
            <w:r>
              <w:rPr>
                <w:color w:val="000000"/>
                <w:sz w:val="21"/>
                <w:lang w:eastAsia="zh-CN"/>
              </w:rPr>
              <w:t>月并网）；世界首台商业化并网潮流机</w:t>
            </w:r>
            <w:r>
              <w:rPr>
                <w:color w:val="000000"/>
                <w:sz w:val="21"/>
                <w:lang w:eastAsia="zh-CN"/>
              </w:rPr>
              <w:t xml:space="preserve"> SeaGen 1.2 MW</w:t>
            </w:r>
            <w:r>
              <w:rPr>
                <w:color w:val="000000"/>
                <w:sz w:val="21"/>
                <w:lang w:eastAsia="zh-CN"/>
              </w:rPr>
              <w:t>（</w:t>
            </w:r>
            <w:r>
              <w:rPr>
                <w:color w:val="000000"/>
                <w:sz w:val="21"/>
                <w:lang w:eastAsia="zh-CN"/>
              </w:rPr>
              <w:t xml:space="preserve">2008 </w:t>
            </w:r>
            <w:r>
              <w:rPr>
                <w:color w:val="000000"/>
                <w:sz w:val="21"/>
                <w:lang w:eastAsia="zh-CN"/>
              </w:rPr>
              <w:t>年，北爱尔兰）；中国</w:t>
            </w:r>
            <w:r>
              <w:rPr>
                <w:color w:val="000000"/>
                <w:sz w:val="21"/>
                <w:lang w:eastAsia="zh-CN"/>
              </w:rPr>
              <w:t xml:space="preserve"> LHD </w:t>
            </w:r>
            <w:r>
              <w:rPr>
                <w:color w:val="000000"/>
                <w:sz w:val="21"/>
                <w:lang w:eastAsia="zh-CN"/>
              </w:rPr>
              <w:t>潮流能项目入选国际能源署全球海洋能二十大亮点（</w:t>
            </w:r>
            <w:r>
              <w:rPr>
                <w:color w:val="000000"/>
                <w:sz w:val="21"/>
                <w:lang w:eastAsia="zh-CN"/>
              </w:rPr>
              <w:t>2024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2891" w:type="dxa"/>
            <w:vAlign w:val="center"/>
          </w:tcPr>
          <w:p w14:paraId="22EE2E66" w14:textId="77777777" w:rsidR="006C17C4" w:rsidRDefault="006C17C4">
            <w:hyperlink r:id="rId16">
              <w:r>
                <w:rPr>
                  <w:color w:val="0000FF" w:themeColor="hyperlink"/>
                  <w:sz w:val="18"/>
                </w:rPr>
                <w:t>央广网：</w:t>
              </w:r>
              <w:r>
                <w:rPr>
                  <w:color w:val="0000FF" w:themeColor="hyperlink"/>
                  <w:sz w:val="18"/>
                </w:rPr>
                <w:t>LHD</w:t>
              </w:r>
              <w:r>
                <w:rPr>
                  <w:color w:val="0000FF" w:themeColor="hyperlink"/>
                  <w:sz w:val="18"/>
                </w:rPr>
                <w:t>潮流能入列</w:t>
              </w:r>
              <w:r>
                <w:rPr>
                  <w:color w:val="0000FF" w:themeColor="hyperlink"/>
                  <w:sz w:val="18"/>
                </w:rPr>
                <w:t>IEA-OES</w:t>
              </w:r>
              <w:r>
                <w:rPr>
                  <w:color w:val="0000FF" w:themeColor="hyperlink"/>
                  <w:sz w:val="18"/>
                </w:rPr>
                <w:t>全球</w:t>
              </w:r>
              <w:r>
                <w:rPr>
                  <w:color w:val="0000FF" w:themeColor="hyperlink"/>
                  <w:sz w:val="18"/>
                </w:rPr>
                <w:t>20</w:t>
              </w:r>
              <w:r>
                <w:rPr>
                  <w:color w:val="0000FF" w:themeColor="hyperlink"/>
                  <w:sz w:val="18"/>
                </w:rPr>
                <w:t>大亮点</w:t>
              </w:r>
            </w:hyperlink>
          </w:p>
        </w:tc>
      </w:tr>
      <w:tr w:rsidR="006C17C4" w14:paraId="1783882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4526A1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关键数据</w:t>
            </w:r>
          </w:p>
        </w:tc>
        <w:tc>
          <w:tcPr>
            <w:tcW w:w="4309" w:type="dxa"/>
            <w:vAlign w:val="center"/>
          </w:tcPr>
          <w:p w14:paraId="58BBEF9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MeyGen </w:t>
            </w:r>
            <w:r>
              <w:rPr>
                <w:color w:val="000000"/>
                <w:sz w:val="21"/>
                <w:lang w:eastAsia="zh-CN"/>
              </w:rPr>
              <w:t>一期</w:t>
            </w:r>
            <w:r>
              <w:rPr>
                <w:color w:val="000000"/>
                <w:sz w:val="21"/>
                <w:lang w:eastAsia="zh-CN"/>
              </w:rPr>
              <w:t xml:space="preserve"> 6 MW </w:t>
            </w:r>
            <w:r>
              <w:rPr>
                <w:color w:val="000000"/>
                <w:sz w:val="21"/>
                <w:lang w:eastAsia="zh-CN"/>
              </w:rPr>
              <w:t>累计发电超</w:t>
            </w:r>
            <w:r>
              <w:rPr>
                <w:color w:val="000000"/>
                <w:sz w:val="21"/>
                <w:lang w:eastAsia="zh-CN"/>
              </w:rPr>
              <w:t xml:space="preserve"> 51 GWh</w:t>
            </w:r>
            <w:r>
              <w:rPr>
                <w:color w:val="000000"/>
                <w:sz w:val="21"/>
                <w:lang w:eastAsia="zh-CN"/>
              </w:rPr>
              <w:t>；总规划</w:t>
            </w:r>
            <w:r>
              <w:rPr>
                <w:color w:val="000000"/>
                <w:sz w:val="21"/>
                <w:lang w:eastAsia="zh-CN"/>
              </w:rPr>
              <w:t xml:space="preserve"> 398 MW</w:t>
            </w:r>
            <w:r>
              <w:rPr>
                <w:color w:val="000000"/>
                <w:sz w:val="21"/>
                <w:lang w:eastAsia="zh-CN"/>
              </w:rPr>
              <w:t>，已获许可</w:t>
            </w:r>
            <w:r>
              <w:rPr>
                <w:color w:val="000000"/>
                <w:sz w:val="21"/>
                <w:lang w:eastAsia="zh-CN"/>
              </w:rPr>
              <w:t xml:space="preserve"> 80–86 MW</w:t>
            </w:r>
            <w:r>
              <w:rPr>
                <w:color w:val="000000"/>
                <w:sz w:val="21"/>
                <w:lang w:eastAsia="zh-CN"/>
              </w:rPr>
              <w:t>；机组转子直径</w:t>
            </w:r>
            <w:r>
              <w:rPr>
                <w:color w:val="000000"/>
                <w:sz w:val="21"/>
                <w:lang w:eastAsia="zh-CN"/>
              </w:rPr>
              <w:t xml:space="preserve"> 18 m</w:t>
            </w:r>
            <w:r>
              <w:rPr>
                <w:color w:val="000000"/>
                <w:sz w:val="21"/>
                <w:lang w:eastAsia="zh-CN"/>
              </w:rPr>
              <w:t>、水深</w:t>
            </w:r>
            <w:r>
              <w:rPr>
                <w:color w:val="000000"/>
                <w:sz w:val="21"/>
                <w:lang w:eastAsia="zh-CN"/>
              </w:rPr>
              <w:t xml:space="preserve"> 25–33 m</w:t>
            </w:r>
          </w:p>
        </w:tc>
        <w:tc>
          <w:tcPr>
            <w:tcW w:w="2891" w:type="dxa"/>
            <w:vAlign w:val="center"/>
          </w:tcPr>
          <w:p w14:paraId="3CE30610" w14:textId="77777777" w:rsidR="006C17C4" w:rsidRDefault="006C17C4">
            <w:hyperlink r:id="rId17">
              <w:r>
                <w:rPr>
                  <w:color w:val="0000FF" w:themeColor="hyperlink"/>
                  <w:sz w:val="18"/>
                </w:rPr>
                <w:t xml:space="preserve">MeyGen </w:t>
              </w:r>
              <w:r>
                <w:rPr>
                  <w:color w:val="0000FF" w:themeColor="hyperlink"/>
                  <w:sz w:val="18"/>
                </w:rPr>
                <w:t>官方：</w:t>
              </w:r>
              <w:r>
                <w:rPr>
                  <w:color w:val="0000FF" w:themeColor="hyperlink"/>
                  <w:sz w:val="18"/>
                </w:rPr>
                <w:t>6MW</w:t>
              </w:r>
              <w:r>
                <w:rPr>
                  <w:color w:val="0000FF" w:themeColor="hyperlink"/>
                  <w:sz w:val="18"/>
                </w:rPr>
                <w:t>、</w:t>
              </w:r>
              <w:r>
                <w:rPr>
                  <w:color w:val="0000FF" w:themeColor="hyperlink"/>
                  <w:sz w:val="18"/>
                </w:rPr>
                <w:t>51GWh</w:t>
              </w:r>
              <w:r>
                <w:rPr>
                  <w:color w:val="0000FF" w:themeColor="hyperlink"/>
                  <w:sz w:val="18"/>
                </w:rPr>
                <w:t>、转子</w:t>
              </w:r>
              <w:r>
                <w:rPr>
                  <w:color w:val="0000FF" w:themeColor="hyperlink"/>
                  <w:sz w:val="18"/>
                </w:rPr>
                <w:t>18m</w:t>
              </w:r>
              <w:r>
                <w:rPr>
                  <w:color w:val="0000FF" w:themeColor="hyperlink"/>
                  <w:sz w:val="18"/>
                </w:rPr>
                <w:t>、</w:t>
              </w:r>
              <w:r>
                <w:rPr>
                  <w:color w:val="0000FF" w:themeColor="hyperlink"/>
                  <w:sz w:val="18"/>
                </w:rPr>
                <w:t>398MW</w:t>
              </w:r>
              <w:r>
                <w:rPr>
                  <w:color w:val="0000FF" w:themeColor="hyperlink"/>
                  <w:sz w:val="18"/>
                </w:rPr>
                <w:t>规划</w:t>
              </w:r>
            </w:hyperlink>
          </w:p>
          <w:p w14:paraId="6C6C72F8" w14:textId="77777777" w:rsidR="006C17C4" w:rsidRDefault="006C17C4">
            <w:hyperlink r:id="rId18">
              <w:r>
                <w:rPr>
                  <w:color w:val="0000FF" w:themeColor="hyperlink"/>
                  <w:sz w:val="18"/>
                </w:rPr>
                <w:t>· Tethys MRE</w:t>
              </w:r>
              <w:r>
                <w:rPr>
                  <w:color w:val="0000FF" w:themeColor="hyperlink"/>
                  <w:sz w:val="18"/>
                </w:rPr>
                <w:t>：</w:t>
              </w:r>
              <w:r>
                <w:rPr>
                  <w:color w:val="0000FF" w:themeColor="hyperlink"/>
                  <w:sz w:val="18"/>
                </w:rPr>
                <w:t xml:space="preserve">MeyGen </w:t>
              </w:r>
              <w:r>
                <w:rPr>
                  <w:color w:val="0000FF" w:themeColor="hyperlink"/>
                  <w:sz w:val="18"/>
                </w:rPr>
                <w:t>项目数据库</w:t>
              </w:r>
            </w:hyperlink>
          </w:p>
        </w:tc>
      </w:tr>
      <w:tr w:rsidR="006C17C4" w14:paraId="646EFB2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C0B4E4F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48C7F621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强流环境腐蚀与生物附着、运维窗口短、机组寿命有限；潮周期漂移需自适应控制算法</w:t>
            </w:r>
          </w:p>
        </w:tc>
        <w:tc>
          <w:tcPr>
            <w:tcW w:w="2891" w:type="dxa"/>
            <w:vAlign w:val="center"/>
          </w:tcPr>
          <w:p w14:paraId="3A3A2A21" w14:textId="77777777" w:rsidR="006C17C4" w:rsidRDefault="006C17C4">
            <w:pPr>
              <w:rPr>
                <w:lang w:eastAsia="zh-CN"/>
              </w:rPr>
            </w:pPr>
            <w:hyperlink r:id="rId19">
              <w:r>
                <w:rPr>
                  <w:color w:val="0000FF" w:themeColor="hyperlink"/>
                  <w:sz w:val="18"/>
                  <w:lang w:eastAsia="zh-CN"/>
                </w:rPr>
                <w:t xml:space="preserve">MeyGen </w:t>
              </w:r>
              <w:r>
                <w:rPr>
                  <w:color w:val="0000FF" w:themeColor="hyperlink"/>
                  <w:sz w:val="18"/>
                  <w:lang w:eastAsia="zh-CN"/>
                </w:rPr>
                <w:t>官方：项目运维经验</w:t>
              </w:r>
            </w:hyperlink>
          </w:p>
        </w:tc>
      </w:tr>
      <w:tr w:rsidR="006C17C4" w14:paraId="5F9D69E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0A68FE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60EAED8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本项目</w:t>
            </w:r>
            <w:r>
              <w:rPr>
                <w:color w:val="000000"/>
                <w:sz w:val="21"/>
                <w:lang w:eastAsia="zh-CN"/>
              </w:rPr>
              <w:t xml:space="preserve"> 7×1 MW </w:t>
            </w:r>
            <w:r>
              <w:rPr>
                <w:color w:val="000000"/>
                <w:sz w:val="21"/>
                <w:lang w:eastAsia="zh-CN"/>
              </w:rPr>
              <w:t>导流罩式（容量因子</w:t>
            </w:r>
            <w:r>
              <w:rPr>
                <w:color w:val="000000"/>
                <w:sz w:val="21"/>
                <w:lang w:eastAsia="zh-CN"/>
              </w:rPr>
              <w:t xml:space="preserve"> 28%</w:t>
            </w:r>
            <w:r>
              <w:rPr>
                <w:color w:val="000000"/>
                <w:sz w:val="21"/>
                <w:lang w:eastAsia="zh-CN"/>
              </w:rPr>
              <w:t>、年发电约</w:t>
            </w:r>
            <w:r>
              <w:rPr>
                <w:color w:val="000000"/>
                <w:sz w:val="21"/>
                <w:lang w:eastAsia="zh-CN"/>
              </w:rPr>
              <w:t xml:space="preserve"> 17.2 GWh</w:t>
            </w:r>
            <w:r>
              <w:rPr>
                <w:color w:val="000000"/>
                <w:sz w:val="21"/>
                <w:lang w:eastAsia="zh-CN"/>
              </w:rPr>
              <w:t>）与变速直驱一致；提取率取</w:t>
            </w:r>
            <w:r>
              <w:rPr>
                <w:color w:val="000000"/>
                <w:sz w:val="21"/>
                <w:lang w:eastAsia="zh-CN"/>
              </w:rPr>
              <w:t xml:space="preserve"> 15% </w:t>
            </w:r>
            <w:r>
              <w:rPr>
                <w:color w:val="000000"/>
                <w:sz w:val="21"/>
                <w:lang w:eastAsia="zh-CN"/>
              </w:rPr>
              <w:t>低于理论上限</w:t>
            </w:r>
          </w:p>
        </w:tc>
        <w:tc>
          <w:tcPr>
            <w:tcW w:w="2891" w:type="dxa"/>
            <w:vAlign w:val="center"/>
          </w:tcPr>
          <w:p w14:paraId="2FA81E41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13E5D31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4F45E9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1DDCBB7E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MeyGen </w:t>
            </w:r>
            <w:r>
              <w:rPr>
                <w:color w:val="000000"/>
                <w:sz w:val="21"/>
                <w:lang w:eastAsia="zh-CN"/>
              </w:rPr>
              <w:t>官网；中国新闻网；人民网；英国议会书面证词</w:t>
            </w:r>
          </w:p>
        </w:tc>
        <w:tc>
          <w:tcPr>
            <w:tcW w:w="2891" w:type="dxa"/>
            <w:vAlign w:val="center"/>
          </w:tcPr>
          <w:p w14:paraId="381189F2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72E012D0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（四）能源路由器：永远保留两成余量的调度原则</w:t>
      </w:r>
    </w:p>
    <w:p w14:paraId="193EA043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全岛以直流母线互联，由能源路由器按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日长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日照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潮流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实时调配电力。调度原则写死在系统底层：任何时刻至少保留</w:t>
      </w:r>
      <w:r>
        <w:rPr>
          <w:color w:val="000000"/>
          <w:lang w:eastAsia="zh-CN"/>
        </w:rPr>
        <w:t xml:space="preserve"> 20% </w:t>
      </w:r>
      <w:r>
        <w:rPr>
          <w:color w:val="000000"/>
          <w:lang w:eastAsia="zh-CN"/>
        </w:rPr>
        <w:t>的可调余量，不因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够用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而满载。余量不是浪费，而是世界对不可预测未来的提前支付。</w:t>
      </w:r>
    </w:p>
    <w:p w14:paraId="1296F6FF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可行性评估：直流微网与智能能源调度为成熟技术方向，国内外已有园区级示范工程；</w:t>
      </w:r>
      <w:r>
        <w:rPr>
          <w:b/>
          <w:color w:val="000000"/>
          <w:lang w:eastAsia="zh-CN"/>
        </w:rPr>
        <w:t xml:space="preserve">20% </w:t>
      </w:r>
      <w:r>
        <w:rPr>
          <w:b/>
          <w:color w:val="000000"/>
          <w:lang w:eastAsia="zh-CN"/>
        </w:rPr>
        <w:t>调度余量属本项目的设计原则（非外部统计值），技术上可通过控制逻辑实现。</w:t>
      </w:r>
    </w:p>
    <w:p w14:paraId="448E4125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4  </w:t>
      </w:r>
      <w:r>
        <w:rPr>
          <w:color w:val="000000"/>
          <w:sz w:val="21"/>
          <w:lang w:eastAsia="zh-CN"/>
        </w:rPr>
        <w:t>能源路由器可行性评估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39329C0F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2065FE3D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03D71CD1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6E79294F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5A4CBBD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599B5B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54DC9474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直流微网、智能能源管理系统为成熟技术方向，国内外已有园区级示范工程</w:t>
            </w:r>
          </w:p>
        </w:tc>
        <w:tc>
          <w:tcPr>
            <w:tcW w:w="2891" w:type="dxa"/>
            <w:vAlign w:val="center"/>
          </w:tcPr>
          <w:p w14:paraId="2D380CB8" w14:textId="77777777" w:rsidR="003B2AD2" w:rsidRDefault="00000000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  <w:r>
              <w:t>行业通用技术（直流配电与微网）</w:t>
            </w:r>
          </w:p>
        </w:tc>
      </w:tr>
      <w:tr w:rsidR="006C17C4" w14:paraId="25B2B27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CD0295C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68CF95F8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园区级直流微网与多能互补调度示范（国内多个省市试点）；需求响应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可调负荷调度在电网侧常态化</w:t>
            </w:r>
          </w:p>
        </w:tc>
        <w:tc>
          <w:tcPr>
            <w:tcW w:w="2891" w:type="dxa"/>
            <w:vAlign w:val="center"/>
          </w:tcPr>
          <w:p w14:paraId="7EB94C57" w14:textId="77777777" w:rsidR="003B2AD2" w:rsidRDefault="00000000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  <w:r>
              <w:t>行业通用实践（国内园区级直流微网示范）</w:t>
            </w:r>
          </w:p>
        </w:tc>
      </w:tr>
      <w:tr w:rsidR="006C17C4" w14:paraId="3172230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375920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606F76EC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20% </w:t>
            </w:r>
            <w:r>
              <w:rPr>
                <w:color w:val="000000"/>
                <w:sz w:val="21"/>
                <w:lang w:eastAsia="zh-CN"/>
              </w:rPr>
              <w:t>可调余量为本项目设计原则（非外部统计值）；弹性层（潮流</w:t>
            </w:r>
            <w:r>
              <w:rPr>
                <w:color w:val="000000"/>
                <w:sz w:val="21"/>
                <w:lang w:eastAsia="zh-CN"/>
              </w:rPr>
              <w:t xml:space="preserve"> 17.2</w:t>
            </w:r>
            <w:r>
              <w:rPr>
                <w:color w:val="000000"/>
                <w:sz w:val="21"/>
                <w:lang w:eastAsia="zh-CN"/>
              </w:rPr>
              <w:t>＋风</w:t>
            </w:r>
            <w:r>
              <w:rPr>
                <w:color w:val="000000"/>
                <w:sz w:val="21"/>
                <w:lang w:eastAsia="zh-CN"/>
              </w:rPr>
              <w:t xml:space="preserve"> 0.9</w:t>
            </w:r>
            <w:r>
              <w:rPr>
                <w:color w:val="000000"/>
                <w:sz w:val="21"/>
                <w:lang w:eastAsia="zh-CN"/>
              </w:rPr>
              <w:t>＋</w:t>
            </w:r>
            <w:r>
              <w:rPr>
                <w:color w:val="000000"/>
                <w:sz w:val="21"/>
                <w:lang w:eastAsia="zh-CN"/>
              </w:rPr>
              <w:t xml:space="preserve">sCO₂ </w:t>
            </w:r>
            <w:r>
              <w:rPr>
                <w:color w:val="000000"/>
                <w:sz w:val="21"/>
                <w:lang w:eastAsia="zh-CN"/>
              </w:rPr>
              <w:t>备用</w:t>
            </w:r>
            <w:r>
              <w:rPr>
                <w:color w:val="000000"/>
                <w:sz w:val="21"/>
                <w:lang w:eastAsia="zh-CN"/>
              </w:rPr>
              <w:t xml:space="preserve"> 3.0</w:t>
            </w:r>
            <w:r>
              <w:rPr>
                <w:color w:val="000000"/>
                <w:sz w:val="21"/>
                <w:lang w:eastAsia="zh-CN"/>
              </w:rPr>
              <w:t>＋</w:t>
            </w:r>
            <w:r>
              <w:rPr>
                <w:color w:val="000000"/>
                <w:sz w:val="21"/>
                <w:lang w:eastAsia="zh-CN"/>
              </w:rPr>
              <w:t xml:space="preserve">EGS </w:t>
            </w:r>
            <w:r>
              <w:rPr>
                <w:color w:val="000000"/>
                <w:sz w:val="21"/>
                <w:lang w:eastAsia="zh-CN"/>
              </w:rPr>
              <w:t>轴功余</w:t>
            </w:r>
            <w:r>
              <w:rPr>
                <w:color w:val="000000"/>
                <w:sz w:val="21"/>
                <w:lang w:eastAsia="zh-CN"/>
              </w:rPr>
              <w:t xml:space="preserve"> 1.5</w:t>
            </w:r>
            <w:r>
              <w:rPr>
                <w:color w:val="000000"/>
                <w:sz w:val="21"/>
                <w:lang w:eastAsia="zh-CN"/>
              </w:rPr>
              <w:t>）年可用约</w:t>
            </w:r>
            <w:r>
              <w:rPr>
                <w:color w:val="000000"/>
                <w:sz w:val="21"/>
                <w:lang w:eastAsia="zh-CN"/>
              </w:rPr>
              <w:t xml:space="preserve"> 22.6 GWh</w:t>
            </w:r>
            <w:r>
              <w:rPr>
                <w:color w:val="000000"/>
                <w:sz w:val="21"/>
                <w:lang w:eastAsia="zh-CN"/>
              </w:rPr>
              <w:t>，为可调电源侧；信息层</w:t>
            </w:r>
            <w:r>
              <w:rPr>
                <w:color w:val="000000"/>
                <w:sz w:val="21"/>
                <w:lang w:eastAsia="zh-CN"/>
              </w:rPr>
              <w:t xml:space="preserve"> 5.0 GWh </w:t>
            </w:r>
            <w:r>
              <w:rPr>
                <w:color w:val="000000"/>
                <w:sz w:val="21"/>
                <w:lang w:eastAsia="zh-CN"/>
              </w:rPr>
              <w:t>为可调负荷侧</w:t>
            </w:r>
          </w:p>
        </w:tc>
        <w:tc>
          <w:tcPr>
            <w:tcW w:w="2891" w:type="dxa"/>
            <w:vAlign w:val="center"/>
          </w:tcPr>
          <w:p w14:paraId="2F3222E9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本项目新方案（内部计算）</w:t>
            </w:r>
          </w:p>
        </w:tc>
      </w:tr>
      <w:tr w:rsidR="006C17C4" w14:paraId="2A967E7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2B7A4D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5A3B4390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多源协同需统一通信协议与实时测控；余量原则必须写入控制逻辑而非仅作运行建议</w:t>
            </w:r>
          </w:p>
        </w:tc>
        <w:tc>
          <w:tcPr>
            <w:tcW w:w="2891" w:type="dxa"/>
            <w:vAlign w:val="center"/>
          </w:tcPr>
          <w:p w14:paraId="2E9BD065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项目设计约束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行业通用实践</w:t>
            </w:r>
          </w:p>
        </w:tc>
      </w:tr>
      <w:tr w:rsidR="006C17C4" w14:paraId="2EA9985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A7DA76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718B883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直流母线＋</w:t>
            </w:r>
            <w:r>
              <w:rPr>
                <w:color w:val="000000"/>
                <w:sz w:val="21"/>
                <w:lang w:eastAsia="zh-CN"/>
              </w:rPr>
              <w:t xml:space="preserve">AI </w:t>
            </w:r>
            <w:r>
              <w:rPr>
                <w:color w:val="000000"/>
                <w:sz w:val="21"/>
                <w:lang w:eastAsia="zh-CN"/>
              </w:rPr>
              <w:t>调度，协调</w:t>
            </w:r>
            <w:r>
              <w:rPr>
                <w:color w:val="000000"/>
                <w:sz w:val="21"/>
                <w:lang w:eastAsia="zh-CN"/>
              </w:rPr>
              <w:t xml:space="preserve"> EGS</w:t>
            </w:r>
            <w:r>
              <w:rPr>
                <w:color w:val="000000"/>
                <w:sz w:val="21"/>
                <w:lang w:eastAsia="zh-CN"/>
              </w:rPr>
              <w:t>、光储链、潮流弹性层与信息层负荷，兑现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留两成余量</w:t>
            </w:r>
            <w:r>
              <w:rPr>
                <w:color w:val="000000"/>
                <w:sz w:val="21"/>
                <w:lang w:eastAsia="zh-CN"/>
              </w:rPr>
              <w:t>”</w:t>
            </w:r>
          </w:p>
        </w:tc>
        <w:tc>
          <w:tcPr>
            <w:tcW w:w="2891" w:type="dxa"/>
            <w:vAlign w:val="center"/>
          </w:tcPr>
          <w:p w14:paraId="10F55424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2C5B23F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B46CC80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2620247E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行业通用技术；本项目新方案</w:t>
            </w:r>
          </w:p>
        </w:tc>
        <w:tc>
          <w:tcPr>
            <w:tcW w:w="2891" w:type="dxa"/>
            <w:vAlign w:val="center"/>
          </w:tcPr>
          <w:p w14:paraId="3A24AF05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3F7F89B5" w14:textId="77777777" w:rsidR="006C17C4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>三、环境创新：留出生态余量</w:t>
      </w:r>
    </w:p>
    <w:p w14:paraId="1AD2A977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地核冷却还可能带来磁场减弱等连锁变化。在一个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都不再可靠的时代，环境设计的任务不是驯服自然，而是让世界在任何条件下都能与自然和平相处。</w:t>
      </w:r>
    </w:p>
    <w:p w14:paraId="1EBC035D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（一）水层舱壁：辐射屏蔽、压舱与换热的一体化设计</w:t>
      </w:r>
    </w:p>
    <w:p w14:paraId="2DD9C50D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地磁场减弱意味着宇宙射线与太阳风粒子的防护需求上升。本设计把世界的外层舱壁做成双层水舱：水体本身是优良的辐射屏蔽层，同时兼作压舱与应急备用换热面（稳态排热由温室屋面、机械树与海水取排水承担）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一层水，同时回答结构、辐射与热量三个问题，不额外占体积、不额外耗能。</w:t>
      </w:r>
    </w:p>
    <w:p w14:paraId="16695B64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可行性评估：三项功能各自都是成熟工程</w:t>
      </w:r>
      <w:r>
        <w:rPr>
          <w:b/>
          <w:color w:val="000000"/>
          <w:lang w:eastAsia="zh-CN"/>
        </w:rPr>
        <w:t>——</w:t>
      </w:r>
      <w:r>
        <w:rPr>
          <w:b/>
          <w:color w:val="000000"/>
          <w:lang w:eastAsia="zh-CN"/>
        </w:rPr>
        <w:t>核电站乏燃料水池以水屏蔽辐射（水深达十米级），船舶压载水系统成熟，水舱作换热面亦属常规；难点在于三功能耦合后的结构与腐蚀设计。</w:t>
      </w:r>
    </w:p>
    <w:p w14:paraId="62E3D2BC" w14:textId="77777777" w:rsidR="006C17C4" w:rsidRDefault="00000000">
      <w:pPr>
        <w:spacing w:before="80" w:after="12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 5  </w:t>
      </w:r>
      <w:r>
        <w:rPr>
          <w:color w:val="000000"/>
          <w:sz w:val="21"/>
        </w:rPr>
        <w:t>水层舱壁可行性评估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71E7BF07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5918541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155F7989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0AC63B90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1E5945B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29866D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0BADB374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水辐射屏蔽（核电乏燃料水池）、船舶压载水系统、水冷换热均为成熟工程</w:t>
            </w:r>
          </w:p>
        </w:tc>
        <w:tc>
          <w:tcPr>
            <w:tcW w:w="2891" w:type="dxa"/>
            <w:vAlign w:val="center"/>
          </w:tcPr>
          <w:p w14:paraId="21CA13DA" w14:textId="77777777" w:rsidR="006C17C4" w:rsidRDefault="006C17C4">
            <w:pPr>
              <w:rPr>
                <w:lang w:eastAsia="zh-CN"/>
              </w:rPr>
            </w:pPr>
            <w:hyperlink r:id="rId20">
              <w:r>
                <w:rPr>
                  <w:color w:val="0000FF" w:themeColor="hyperlink"/>
                  <w:sz w:val="18"/>
                  <w:lang w:eastAsia="zh-CN"/>
                </w:rPr>
                <w:t>国际原子能机构（</w:t>
              </w:r>
              <w:r>
                <w:rPr>
                  <w:color w:val="0000FF" w:themeColor="hyperlink"/>
                  <w:sz w:val="18"/>
                  <w:lang w:eastAsia="zh-CN"/>
                </w:rPr>
                <w:t>IAEA</w:t>
              </w:r>
              <w:r>
                <w:rPr>
                  <w:color w:val="0000FF" w:themeColor="hyperlink"/>
                  <w:sz w:val="18"/>
                  <w:lang w:eastAsia="zh-CN"/>
                </w:rPr>
                <w:t>）：辐射防护</w:t>
              </w:r>
            </w:hyperlink>
          </w:p>
          <w:p w14:paraId="60685A33" w14:textId="77777777" w:rsidR="006C17C4" w:rsidRDefault="006C17C4">
            <w:pPr>
              <w:rPr>
                <w:lang w:eastAsia="zh-CN"/>
              </w:rPr>
            </w:pPr>
            <w:hyperlink r:id="rId21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国际海事组织（</w:t>
              </w:r>
              <w:r>
                <w:rPr>
                  <w:color w:val="0000FF" w:themeColor="hyperlink"/>
                  <w:sz w:val="18"/>
                  <w:lang w:eastAsia="zh-CN"/>
                </w:rPr>
                <w:t>IMO</w:t>
              </w:r>
              <w:r>
                <w:rPr>
                  <w:color w:val="0000FF" w:themeColor="hyperlink"/>
                  <w:sz w:val="18"/>
                  <w:lang w:eastAsia="zh-CN"/>
                </w:rPr>
                <w:t>）：压载水管理公约</w:t>
              </w:r>
            </w:hyperlink>
          </w:p>
        </w:tc>
      </w:tr>
      <w:tr w:rsidR="006C17C4" w14:paraId="356A619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1D492F6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3316CF8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核电站乏燃料水池以水屏蔽中子与</w:t>
            </w:r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</w:rPr>
              <w:t>γ</w:t>
            </w:r>
            <w:r>
              <w:rPr>
                <w:color w:val="000000"/>
                <w:sz w:val="21"/>
                <w:lang w:eastAsia="zh-CN"/>
              </w:rPr>
              <w:t xml:space="preserve"> </w:t>
            </w:r>
            <w:r>
              <w:rPr>
                <w:color w:val="000000"/>
                <w:sz w:val="21"/>
                <w:lang w:eastAsia="zh-CN"/>
              </w:rPr>
              <w:t>辐射（水深达十米级）；大型船舶压载水舱占比可达载重吨的数十百分比</w:t>
            </w:r>
          </w:p>
        </w:tc>
        <w:tc>
          <w:tcPr>
            <w:tcW w:w="2891" w:type="dxa"/>
            <w:vAlign w:val="center"/>
          </w:tcPr>
          <w:p w14:paraId="0D23E73A" w14:textId="77777777" w:rsidR="006C17C4" w:rsidRDefault="006C17C4">
            <w:pPr>
              <w:rPr>
                <w:lang w:eastAsia="zh-CN"/>
              </w:rPr>
            </w:pPr>
            <w:hyperlink r:id="rId22">
              <w:r>
                <w:rPr>
                  <w:color w:val="0000FF" w:themeColor="hyperlink"/>
                  <w:sz w:val="18"/>
                  <w:lang w:eastAsia="zh-CN"/>
                </w:rPr>
                <w:t>国际原子能机构（</w:t>
              </w:r>
              <w:r>
                <w:rPr>
                  <w:color w:val="0000FF" w:themeColor="hyperlink"/>
                  <w:sz w:val="18"/>
                  <w:lang w:eastAsia="zh-CN"/>
                </w:rPr>
                <w:t>IAEA</w:t>
              </w:r>
              <w:r>
                <w:rPr>
                  <w:color w:val="0000FF" w:themeColor="hyperlink"/>
                  <w:sz w:val="18"/>
                  <w:lang w:eastAsia="zh-CN"/>
                </w:rPr>
                <w:t>）：乏燃料贮存</w:t>
              </w:r>
            </w:hyperlink>
          </w:p>
        </w:tc>
      </w:tr>
      <w:tr w:rsidR="006C17C4" w14:paraId="170B53E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D2F405D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28C50D72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水含氢丰富，对中子慢化与吸收有效，是良好辐射屏蔽介质；双功能结构需有限元与腐蚀裕度设计</w:t>
            </w:r>
          </w:p>
        </w:tc>
        <w:tc>
          <w:tcPr>
            <w:tcW w:w="2891" w:type="dxa"/>
            <w:vAlign w:val="center"/>
          </w:tcPr>
          <w:p w14:paraId="2AA1AA34" w14:textId="77777777" w:rsidR="006C17C4" w:rsidRDefault="006C17C4">
            <w:pPr>
              <w:rPr>
                <w:lang w:eastAsia="zh-CN"/>
              </w:rPr>
            </w:pPr>
            <w:hyperlink r:id="rId23">
              <w:r>
                <w:rPr>
                  <w:color w:val="0000FF" w:themeColor="hyperlink"/>
                  <w:sz w:val="18"/>
                  <w:lang w:eastAsia="zh-CN"/>
                </w:rPr>
                <w:t>辐射防护通用知识：水的屏蔽特性</w:t>
              </w:r>
            </w:hyperlink>
          </w:p>
        </w:tc>
      </w:tr>
      <w:tr w:rsidR="006C17C4" w14:paraId="442540B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89F661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061B722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舱壁厚度与结构质量、海水侧腐蚀、换热效率与屏蔽厚度的参数耦合；需阴极保护与涂层体系</w:t>
            </w:r>
          </w:p>
        </w:tc>
        <w:tc>
          <w:tcPr>
            <w:tcW w:w="2891" w:type="dxa"/>
            <w:vAlign w:val="center"/>
          </w:tcPr>
          <w:p w14:paraId="65F6B25B" w14:textId="77777777" w:rsidR="006C17C4" w:rsidRDefault="006C17C4">
            <w:pPr>
              <w:rPr>
                <w:lang w:eastAsia="zh-CN"/>
              </w:rPr>
            </w:pPr>
            <w:hyperlink r:id="rId24">
              <w:r>
                <w:rPr>
                  <w:color w:val="0000FF" w:themeColor="hyperlink"/>
                  <w:sz w:val="18"/>
                  <w:lang w:eastAsia="zh-CN"/>
                </w:rPr>
                <w:t>IMO</w:t>
              </w:r>
              <w:r>
                <w:rPr>
                  <w:color w:val="0000FF" w:themeColor="hyperlink"/>
                  <w:sz w:val="18"/>
                  <w:lang w:eastAsia="zh-CN"/>
                </w:rPr>
                <w:t>：船舶防腐与压载水管理</w:t>
              </w:r>
            </w:hyperlink>
          </w:p>
        </w:tc>
      </w:tr>
      <w:tr w:rsidR="006C17C4" w14:paraId="03D1D8C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431CA9B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653699B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薄板构型外层双水舱一物三用，不占额外体积，回应地磁场减弱背景</w:t>
            </w:r>
          </w:p>
        </w:tc>
        <w:tc>
          <w:tcPr>
            <w:tcW w:w="2891" w:type="dxa"/>
            <w:vAlign w:val="center"/>
          </w:tcPr>
          <w:p w14:paraId="7AB4C40B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5761FB5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4760AA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5F83A9FE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核电与船舶工程通用实践</w:t>
            </w:r>
          </w:p>
        </w:tc>
        <w:tc>
          <w:tcPr>
            <w:tcW w:w="2891" w:type="dxa"/>
            <w:vAlign w:val="center"/>
          </w:tcPr>
          <w:p w14:paraId="591D62BE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64F372FF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（二）生态哨兵：让取排水自己</w:t>
      </w:r>
      <w:r>
        <w:rPr>
          <w:rFonts w:ascii="Times New Roman" w:eastAsia="黑体" w:hAnsi="Times New Roman"/>
          <w:color w:val="000000"/>
          <w:sz w:val="28"/>
          <w:lang w:eastAsia="zh-CN"/>
        </w:rPr>
        <w:t>“</w:t>
      </w:r>
      <w:r>
        <w:rPr>
          <w:rFonts w:ascii="Times New Roman" w:eastAsia="黑体" w:hAnsi="Times New Roman"/>
          <w:color w:val="000000"/>
          <w:sz w:val="28"/>
          <w:lang w:eastAsia="zh-CN"/>
        </w:rPr>
        <w:t>看</w:t>
      </w:r>
      <w:r>
        <w:rPr>
          <w:rFonts w:ascii="Times New Roman" w:eastAsia="黑体" w:hAnsi="Times New Roman"/>
          <w:color w:val="000000"/>
          <w:sz w:val="28"/>
          <w:lang w:eastAsia="zh-CN"/>
        </w:rPr>
        <w:t>”</w:t>
      </w:r>
      <w:r>
        <w:rPr>
          <w:rFonts w:ascii="Times New Roman" w:eastAsia="黑体" w:hAnsi="Times New Roman"/>
          <w:color w:val="000000"/>
          <w:sz w:val="28"/>
          <w:lang w:eastAsia="zh-CN"/>
        </w:rPr>
        <w:t>着湾内生态</w:t>
      </w:r>
    </w:p>
    <w:p w14:paraId="6A8F844A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在世界与湾内水体的界面上部署环境</w:t>
      </w:r>
      <w:r>
        <w:rPr>
          <w:color w:val="000000"/>
          <w:lang w:eastAsia="zh-CN"/>
        </w:rPr>
        <w:t xml:space="preserve"> DNA </w:t>
      </w:r>
      <w:r>
        <w:rPr>
          <w:color w:val="000000"/>
          <w:lang w:eastAsia="zh-CN"/>
        </w:rPr>
        <w:t>与多参数传感器组成的生态哨兵系统，持续监测鱼群、浮游生物与水质节律。取排水量不是按设计上限固定运行，而是由哨兵数据自适应调节：生态波动大时自动少取少排，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宁可牺牲一点效率，也要为不可预测的自然留下生长的空间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1ED2FB0E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lastRenderedPageBreak/>
        <w:t>可行性评估：环境</w:t>
      </w:r>
      <w:r>
        <w:rPr>
          <w:b/>
          <w:color w:val="000000"/>
          <w:lang w:eastAsia="zh-CN"/>
        </w:rPr>
        <w:t xml:space="preserve"> DNA</w:t>
      </w:r>
      <w:r>
        <w:rPr>
          <w:b/>
          <w:color w:val="000000"/>
          <w:lang w:eastAsia="zh-CN"/>
        </w:rPr>
        <w:t>（</w:t>
      </w:r>
      <w:r>
        <w:rPr>
          <w:b/>
          <w:color w:val="000000"/>
          <w:lang w:eastAsia="zh-CN"/>
        </w:rPr>
        <w:t>eDNA</w:t>
      </w:r>
      <w:r>
        <w:rPr>
          <w:b/>
          <w:color w:val="000000"/>
          <w:lang w:eastAsia="zh-CN"/>
        </w:rPr>
        <w:t>）监测已进入我国生态环境监测体系并规模化应用；自适应控制为成熟自动化技术。主要风险在</w:t>
      </w:r>
      <w:r>
        <w:rPr>
          <w:b/>
          <w:color w:val="000000"/>
          <w:lang w:eastAsia="zh-CN"/>
        </w:rPr>
        <w:t xml:space="preserve"> eDNA </w:t>
      </w:r>
      <w:r>
        <w:rPr>
          <w:b/>
          <w:color w:val="000000"/>
          <w:lang w:eastAsia="zh-CN"/>
        </w:rPr>
        <w:t>采样频率与监测</w:t>
      </w:r>
      <w:r>
        <w:rPr>
          <w:b/>
          <w:color w:val="000000"/>
          <w:lang w:eastAsia="zh-CN"/>
        </w:rPr>
        <w:t>—</w:t>
      </w:r>
      <w:r>
        <w:rPr>
          <w:b/>
          <w:color w:val="000000"/>
          <w:lang w:eastAsia="zh-CN"/>
        </w:rPr>
        <w:t>控制闭环的可靠性。</w:t>
      </w:r>
    </w:p>
    <w:p w14:paraId="1EF5F858" w14:textId="77777777" w:rsidR="006C17C4" w:rsidRDefault="00000000">
      <w:pPr>
        <w:spacing w:before="80" w:after="12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 6  </w:t>
      </w:r>
      <w:r>
        <w:rPr>
          <w:color w:val="000000"/>
          <w:sz w:val="21"/>
        </w:rPr>
        <w:t>生态哨兵可行性评估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7C597264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5D44FA8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A4C97A3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27622CB2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6228A1B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E865C58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539152BE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eDNA </w:t>
            </w:r>
            <w:r>
              <w:rPr>
                <w:color w:val="000000"/>
                <w:sz w:val="21"/>
                <w:lang w:eastAsia="zh-CN"/>
              </w:rPr>
              <w:t>监测技术成熟，已进入国家监测体系应用；多参数传感与自适应控制为成熟自动化技术</w:t>
            </w:r>
          </w:p>
        </w:tc>
        <w:tc>
          <w:tcPr>
            <w:tcW w:w="2891" w:type="dxa"/>
            <w:vAlign w:val="center"/>
          </w:tcPr>
          <w:p w14:paraId="09201466" w14:textId="77777777" w:rsidR="006C17C4" w:rsidRDefault="006C17C4">
            <w:pPr>
              <w:rPr>
                <w:lang w:eastAsia="zh-CN"/>
              </w:rPr>
            </w:pPr>
            <w:hyperlink r:id="rId25">
              <w:r>
                <w:rPr>
                  <w:color w:val="0000FF" w:themeColor="hyperlink"/>
                  <w:sz w:val="18"/>
                  <w:lang w:eastAsia="zh-CN"/>
                </w:rPr>
                <w:t>武汉市生态环境局：环境</w:t>
              </w:r>
              <w:r>
                <w:rPr>
                  <w:color w:val="0000FF" w:themeColor="hyperlink"/>
                  <w:sz w:val="18"/>
                  <w:lang w:eastAsia="zh-CN"/>
                </w:rPr>
                <w:t>DNA</w:t>
              </w:r>
              <w:r>
                <w:rPr>
                  <w:color w:val="0000FF" w:themeColor="hyperlink"/>
                  <w:sz w:val="18"/>
                  <w:lang w:eastAsia="zh-CN"/>
                </w:rPr>
                <w:t>测序芯片技术</w:t>
              </w:r>
            </w:hyperlink>
          </w:p>
          <w:p w14:paraId="2EBB4A92" w14:textId="77777777" w:rsidR="006C17C4" w:rsidRDefault="006C17C4">
            <w:pPr>
              <w:rPr>
                <w:lang w:eastAsia="zh-CN"/>
              </w:rPr>
            </w:pPr>
            <w:hyperlink r:id="rId26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央视网：环境</w:t>
              </w:r>
              <w:r>
                <w:rPr>
                  <w:color w:val="0000FF" w:themeColor="hyperlink"/>
                  <w:sz w:val="18"/>
                  <w:lang w:eastAsia="zh-CN"/>
                </w:rPr>
                <w:t>DNA</w:t>
              </w:r>
              <w:r>
                <w:rPr>
                  <w:color w:val="0000FF" w:themeColor="hyperlink"/>
                  <w:sz w:val="18"/>
                  <w:lang w:eastAsia="zh-CN"/>
                </w:rPr>
                <w:t>检测技术</w:t>
              </w:r>
            </w:hyperlink>
          </w:p>
        </w:tc>
      </w:tr>
      <w:tr w:rsidR="006C17C4" w14:paraId="340F6A3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BD20D0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5449B96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长江江苏段</w:t>
            </w:r>
            <w:r>
              <w:rPr>
                <w:color w:val="000000"/>
                <w:sz w:val="21"/>
                <w:lang w:eastAsia="zh-CN"/>
              </w:rPr>
              <w:t xml:space="preserve"> 19 </w:t>
            </w:r>
            <w:r>
              <w:rPr>
                <w:color w:val="000000"/>
                <w:sz w:val="21"/>
                <w:lang w:eastAsia="zh-CN"/>
              </w:rPr>
              <w:t>个国控断面</w:t>
            </w:r>
            <w:r>
              <w:rPr>
                <w:color w:val="000000"/>
                <w:sz w:val="21"/>
                <w:lang w:eastAsia="zh-CN"/>
              </w:rPr>
              <w:t xml:space="preserve"> eDNA </w:t>
            </w:r>
            <w:r>
              <w:rPr>
                <w:color w:val="000000"/>
                <w:sz w:val="21"/>
                <w:lang w:eastAsia="zh-CN"/>
              </w:rPr>
              <w:t>测序芯片（</w:t>
            </w:r>
            <w:r>
              <w:rPr>
                <w:color w:val="000000"/>
                <w:sz w:val="21"/>
                <w:lang w:eastAsia="zh-CN"/>
              </w:rPr>
              <w:t xml:space="preserve">2026 </w:t>
            </w:r>
            <w:r>
              <w:rPr>
                <w:color w:val="000000"/>
                <w:sz w:val="21"/>
                <w:lang w:eastAsia="zh-CN"/>
              </w:rPr>
              <w:t>年全国两会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部长通道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展示）；长江流域湖北段</w:t>
            </w:r>
            <w:r>
              <w:rPr>
                <w:color w:val="000000"/>
                <w:sz w:val="21"/>
                <w:lang w:eastAsia="zh-CN"/>
              </w:rPr>
              <w:t xml:space="preserve"> 17 </w:t>
            </w:r>
            <w:r>
              <w:rPr>
                <w:color w:val="000000"/>
                <w:sz w:val="21"/>
                <w:lang w:eastAsia="zh-CN"/>
              </w:rPr>
              <w:t>个点位试点应用</w:t>
            </w:r>
          </w:p>
        </w:tc>
        <w:tc>
          <w:tcPr>
            <w:tcW w:w="2891" w:type="dxa"/>
            <w:vAlign w:val="center"/>
          </w:tcPr>
          <w:p w14:paraId="2B5B712D" w14:textId="77777777" w:rsidR="006C17C4" w:rsidRDefault="006C17C4">
            <w:pPr>
              <w:rPr>
                <w:lang w:eastAsia="zh-CN"/>
              </w:rPr>
            </w:pPr>
            <w:hyperlink r:id="rId27">
              <w:r>
                <w:rPr>
                  <w:color w:val="0000FF" w:themeColor="hyperlink"/>
                  <w:sz w:val="18"/>
                  <w:lang w:eastAsia="zh-CN"/>
                </w:rPr>
                <w:t>生态环境部：部长通道答记者问</w:t>
              </w:r>
            </w:hyperlink>
          </w:p>
          <w:p w14:paraId="6E11985F" w14:textId="77777777" w:rsidR="006C17C4" w:rsidRDefault="006C17C4">
            <w:pPr>
              <w:rPr>
                <w:lang w:eastAsia="zh-CN"/>
              </w:rPr>
            </w:pPr>
            <w:hyperlink r:id="rId28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江苏省生态环境厅：</w:t>
              </w:r>
              <w:r>
                <w:rPr>
                  <w:color w:val="0000FF" w:themeColor="hyperlink"/>
                  <w:sz w:val="18"/>
                  <w:lang w:eastAsia="zh-CN"/>
                </w:rPr>
                <w:t>eDNA</w:t>
              </w:r>
              <w:r>
                <w:rPr>
                  <w:color w:val="0000FF" w:themeColor="hyperlink"/>
                  <w:sz w:val="18"/>
                  <w:lang w:eastAsia="zh-CN"/>
                </w:rPr>
                <w:t>测序芯片展示</w:t>
              </w:r>
            </w:hyperlink>
          </w:p>
        </w:tc>
      </w:tr>
      <w:tr w:rsidR="006C17C4" w14:paraId="237A86C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E6AF45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782C42BB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湖北试点检出</w:t>
            </w:r>
            <w:r>
              <w:rPr>
                <w:color w:val="000000"/>
                <w:sz w:val="21"/>
                <w:lang w:eastAsia="zh-CN"/>
              </w:rPr>
              <w:t xml:space="preserve"> 107 </w:t>
            </w:r>
            <w:r>
              <w:rPr>
                <w:color w:val="000000"/>
                <w:sz w:val="21"/>
                <w:lang w:eastAsia="zh-CN"/>
              </w:rPr>
              <w:t>种鱼类（含鲟鱼、胭脂鱼等</w:t>
            </w:r>
            <w:r>
              <w:rPr>
                <w:color w:val="000000"/>
                <w:sz w:val="21"/>
                <w:lang w:eastAsia="zh-CN"/>
              </w:rPr>
              <w:t xml:space="preserve"> 8 </w:t>
            </w:r>
            <w:r>
              <w:rPr>
                <w:color w:val="000000"/>
                <w:sz w:val="21"/>
                <w:lang w:eastAsia="zh-CN"/>
              </w:rPr>
              <w:t>种重点保护物种）；长江江苏段近</w:t>
            </w:r>
            <w:r>
              <w:rPr>
                <w:color w:val="000000"/>
                <w:sz w:val="21"/>
                <w:lang w:eastAsia="zh-CN"/>
              </w:rPr>
              <w:t xml:space="preserve"> 5 </w:t>
            </w:r>
            <w:r>
              <w:rPr>
                <w:color w:val="000000"/>
                <w:sz w:val="21"/>
                <w:lang w:eastAsia="zh-CN"/>
              </w:rPr>
              <w:t>年水生生物增加</w:t>
            </w:r>
            <w:r>
              <w:rPr>
                <w:color w:val="000000"/>
                <w:sz w:val="21"/>
                <w:lang w:eastAsia="zh-CN"/>
              </w:rPr>
              <w:t xml:space="preserve"> 20 </w:t>
            </w:r>
            <w:r>
              <w:rPr>
                <w:color w:val="000000"/>
                <w:sz w:val="21"/>
                <w:lang w:eastAsia="zh-CN"/>
              </w:rPr>
              <w:t>余种；</w:t>
            </w:r>
            <w:r>
              <w:rPr>
                <w:color w:val="000000"/>
                <w:sz w:val="21"/>
                <w:lang w:eastAsia="zh-CN"/>
              </w:rPr>
              <w:t xml:space="preserve">eDNA </w:t>
            </w:r>
            <w:r>
              <w:rPr>
                <w:color w:val="000000"/>
                <w:sz w:val="21"/>
                <w:lang w:eastAsia="zh-CN"/>
              </w:rPr>
              <w:t>可在江豚低密度条件下实现高频多范围监测</w:t>
            </w:r>
          </w:p>
        </w:tc>
        <w:tc>
          <w:tcPr>
            <w:tcW w:w="2891" w:type="dxa"/>
            <w:vAlign w:val="center"/>
          </w:tcPr>
          <w:p w14:paraId="550908AD" w14:textId="77777777" w:rsidR="006C17C4" w:rsidRDefault="006C17C4">
            <w:pPr>
              <w:rPr>
                <w:lang w:eastAsia="zh-CN"/>
              </w:rPr>
            </w:pPr>
            <w:hyperlink r:id="rId29">
              <w:r>
                <w:rPr>
                  <w:color w:val="0000FF" w:themeColor="hyperlink"/>
                  <w:sz w:val="18"/>
                  <w:lang w:eastAsia="zh-CN"/>
                </w:rPr>
                <w:t>长江云：湖北</w:t>
              </w:r>
              <w:r>
                <w:rPr>
                  <w:color w:val="0000FF" w:themeColor="hyperlink"/>
                  <w:sz w:val="18"/>
                  <w:lang w:eastAsia="zh-CN"/>
                </w:rPr>
                <w:t>eDNA</w:t>
              </w:r>
              <w:r>
                <w:rPr>
                  <w:color w:val="0000FF" w:themeColor="hyperlink"/>
                  <w:sz w:val="18"/>
                  <w:lang w:eastAsia="zh-CN"/>
                </w:rPr>
                <w:t>检出</w:t>
              </w:r>
              <w:r>
                <w:rPr>
                  <w:color w:val="0000FF" w:themeColor="hyperlink"/>
                  <w:sz w:val="18"/>
                  <w:lang w:eastAsia="zh-CN"/>
                </w:rPr>
                <w:t>107</w:t>
              </w:r>
              <w:r>
                <w:rPr>
                  <w:color w:val="0000FF" w:themeColor="hyperlink"/>
                  <w:sz w:val="18"/>
                  <w:lang w:eastAsia="zh-CN"/>
                </w:rPr>
                <w:t>种鱼类</w:t>
              </w:r>
            </w:hyperlink>
          </w:p>
          <w:p w14:paraId="569EC1B8" w14:textId="77777777" w:rsidR="006C17C4" w:rsidRDefault="006C17C4">
            <w:pPr>
              <w:rPr>
                <w:lang w:eastAsia="zh-CN"/>
              </w:rPr>
            </w:pPr>
            <w:hyperlink r:id="rId30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央视网：</w:t>
              </w:r>
              <w:r>
                <w:rPr>
                  <w:color w:val="0000FF" w:themeColor="hyperlink"/>
                  <w:sz w:val="18"/>
                  <w:lang w:eastAsia="zh-CN"/>
                </w:rPr>
                <w:t>eDNA</w:t>
              </w:r>
              <w:r>
                <w:rPr>
                  <w:color w:val="0000FF" w:themeColor="hyperlink"/>
                  <w:sz w:val="18"/>
                  <w:lang w:eastAsia="zh-CN"/>
                </w:rPr>
                <w:t>高频监测江豚</w:t>
              </w:r>
            </w:hyperlink>
          </w:p>
        </w:tc>
      </w:tr>
      <w:tr w:rsidR="006C17C4" w14:paraId="57A3502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E90B54B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0087B88B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eDNA </w:t>
            </w:r>
            <w:r>
              <w:rPr>
                <w:color w:val="000000"/>
                <w:sz w:val="21"/>
                <w:lang w:eastAsia="zh-CN"/>
              </w:rPr>
              <w:t>半衰期短，需定期采样；监测数据到取排水控制需闭环算法；需与人工抽检互为校验</w:t>
            </w:r>
          </w:p>
        </w:tc>
        <w:tc>
          <w:tcPr>
            <w:tcW w:w="2891" w:type="dxa"/>
            <w:vAlign w:val="center"/>
          </w:tcPr>
          <w:p w14:paraId="71BF6C1C" w14:textId="77777777" w:rsidR="006C17C4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eDNA</w:t>
            </w:r>
            <w:r>
              <w:rPr>
                <w:sz w:val="18"/>
                <w:lang w:eastAsia="zh-CN"/>
              </w:rPr>
              <w:t>技术文献与工程实践</w:t>
            </w:r>
          </w:p>
        </w:tc>
      </w:tr>
      <w:tr w:rsidR="006C17C4" w14:paraId="76DF40A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F47CA3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7025106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与排热弥散、取水占比</w:t>
            </w:r>
            <w:r>
              <w:rPr>
                <w:color w:val="000000"/>
                <w:sz w:val="21"/>
                <w:lang w:eastAsia="zh-CN"/>
              </w:rPr>
              <w:t xml:space="preserve"> 0.01% </w:t>
            </w:r>
            <w:r>
              <w:rPr>
                <w:color w:val="000000"/>
                <w:sz w:val="21"/>
                <w:lang w:eastAsia="zh-CN"/>
              </w:rPr>
              <w:t>联动，把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宁可少取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写成可执行运行规则</w:t>
            </w:r>
          </w:p>
        </w:tc>
        <w:tc>
          <w:tcPr>
            <w:tcW w:w="2891" w:type="dxa"/>
            <w:vAlign w:val="center"/>
          </w:tcPr>
          <w:p w14:paraId="58F2D4EC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20B4FF7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DC0BF4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1676FB02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生态环境部；科技日报；央视新闻；湖北省生态环境厅</w:t>
            </w:r>
          </w:p>
        </w:tc>
        <w:tc>
          <w:tcPr>
            <w:tcW w:w="2891" w:type="dxa"/>
            <w:vAlign w:val="center"/>
          </w:tcPr>
          <w:p w14:paraId="6D884B13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5AB8E02D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（三）排热羽流弥散：把</w:t>
      </w:r>
      <w:r>
        <w:rPr>
          <w:rFonts w:ascii="Times New Roman" w:eastAsia="黑体" w:hAnsi="Times New Roman"/>
          <w:color w:val="000000"/>
          <w:sz w:val="28"/>
          <w:lang w:eastAsia="zh-CN"/>
        </w:rPr>
        <w:t>“</w:t>
      </w:r>
      <w:r>
        <w:rPr>
          <w:rFonts w:ascii="Times New Roman" w:eastAsia="黑体" w:hAnsi="Times New Roman"/>
          <w:color w:val="000000"/>
          <w:sz w:val="28"/>
          <w:lang w:eastAsia="zh-CN"/>
        </w:rPr>
        <w:t>还</w:t>
      </w:r>
      <w:r>
        <w:rPr>
          <w:rFonts w:ascii="Times New Roman" w:eastAsia="黑体" w:hAnsi="Times New Roman"/>
          <w:color w:val="000000"/>
          <w:sz w:val="28"/>
          <w:lang w:eastAsia="zh-CN"/>
        </w:rPr>
        <w:t>”</w:t>
      </w:r>
      <w:r>
        <w:rPr>
          <w:rFonts w:ascii="Times New Roman" w:eastAsia="黑体" w:hAnsi="Times New Roman"/>
          <w:color w:val="000000"/>
          <w:sz w:val="28"/>
          <w:lang w:eastAsia="zh-CN"/>
        </w:rPr>
        <w:t>也设计得温柔</w:t>
      </w:r>
    </w:p>
    <w:p w14:paraId="017D12CA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排热以约</w:t>
      </w:r>
      <w:r>
        <w:rPr>
          <w:color w:val="000000"/>
          <w:lang w:eastAsia="zh-CN"/>
        </w:rPr>
        <w:t xml:space="preserve"> 30 ℃ </w:t>
      </w:r>
      <w:r>
        <w:rPr>
          <w:color w:val="000000"/>
          <w:lang w:eastAsia="zh-CN"/>
        </w:rPr>
        <w:t>归还自取水体（取水年均约</w:t>
      </w:r>
      <w:r>
        <w:rPr>
          <w:color w:val="000000"/>
          <w:lang w:eastAsia="zh-CN"/>
        </w:rPr>
        <w:t xml:space="preserve"> 14 ℃</w:t>
      </w:r>
      <w:r>
        <w:rPr>
          <w:color w:val="000000"/>
          <w:lang w:eastAsia="zh-CN"/>
        </w:rPr>
        <w:t>，温升约</w:t>
      </w:r>
      <w:r>
        <w:rPr>
          <w:color w:val="000000"/>
          <w:lang w:eastAsia="zh-CN"/>
        </w:rPr>
        <w:t xml:space="preserve"> 16 K</w:t>
      </w:r>
      <w:r>
        <w:rPr>
          <w:color w:val="000000"/>
          <w:lang w:eastAsia="zh-CN"/>
        </w:rPr>
        <w:t>），通过弥散结构设计，让温排水在离开世界后迅速融入湾内水体的自然波动范围，使湾内增温保持在可忽略水平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有取有还，还的方式同样经过设计。</w:t>
      </w:r>
    </w:p>
    <w:p w14:paraId="36468D33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可行性评估：电厂温排水扩散器与近远区混合设计是成熟工程；本项目增温指标（约</w:t>
      </w:r>
      <w:r>
        <w:rPr>
          <w:b/>
          <w:color w:val="000000"/>
          <w:lang w:eastAsia="zh-CN"/>
        </w:rPr>
        <w:t xml:space="preserve"> 0.0005 K</w:t>
      </w:r>
      <w:r>
        <w:rPr>
          <w:b/>
          <w:color w:val="000000"/>
          <w:lang w:eastAsia="zh-CN"/>
        </w:rPr>
        <w:t>）远低于常规温排水限值，风险主要是冬季分层与潮流强弱变化下的扩散波动，需长期监测校核。</w:t>
      </w:r>
    </w:p>
    <w:p w14:paraId="4BA3B1BF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7  </w:t>
      </w:r>
      <w:r>
        <w:rPr>
          <w:color w:val="000000"/>
          <w:sz w:val="21"/>
          <w:lang w:eastAsia="zh-CN"/>
        </w:rPr>
        <w:t>排热羽流弥散可行性评估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3200AAF1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1E6D7F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FF8B217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32D50A80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0ACF1BA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EAA9C3E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5238D54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火电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核电温排水扩散器与混合区设计为成熟工程（近区稀释＋远区扩散）</w:t>
            </w:r>
          </w:p>
        </w:tc>
        <w:tc>
          <w:tcPr>
            <w:tcW w:w="2891" w:type="dxa"/>
            <w:vAlign w:val="center"/>
          </w:tcPr>
          <w:p w14:paraId="695C08EB" w14:textId="77777777" w:rsidR="003B2AD2" w:rsidRDefault="003B2AD2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</w:p>
        </w:tc>
      </w:tr>
      <w:tr w:rsidR="006C17C4" w14:paraId="74557B8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665A2CD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44235BF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国内外滨海电厂温排水扩散器工程广泛运行；我国对温排水实行环境监测管理</w:t>
            </w:r>
          </w:p>
        </w:tc>
        <w:tc>
          <w:tcPr>
            <w:tcW w:w="2891" w:type="dxa"/>
            <w:vAlign w:val="center"/>
          </w:tcPr>
          <w:p w14:paraId="1B8C66EE" w14:textId="77777777" w:rsidR="003B2AD2" w:rsidRDefault="003B2AD2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</w:p>
        </w:tc>
      </w:tr>
      <w:tr w:rsidR="006C17C4" w14:paraId="2DBACE2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E708CF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关键数据</w:t>
            </w:r>
          </w:p>
        </w:tc>
        <w:tc>
          <w:tcPr>
            <w:tcW w:w="4309" w:type="dxa"/>
            <w:vAlign w:val="center"/>
          </w:tcPr>
          <w:p w14:paraId="0EDC85B9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本项目：稳态排热</w:t>
            </w:r>
            <w:r>
              <w:rPr>
                <w:color w:val="000000"/>
                <w:sz w:val="21"/>
                <w:lang w:eastAsia="zh-CN"/>
              </w:rPr>
              <w:t xml:space="preserve"> 21.0 MW </w:t>
            </w:r>
            <w:r>
              <w:rPr>
                <w:color w:val="000000"/>
                <w:sz w:val="21"/>
                <w:lang w:eastAsia="zh-CN"/>
              </w:rPr>
              <w:t>日均／</w:t>
            </w:r>
            <w:r>
              <w:rPr>
                <w:color w:val="000000"/>
                <w:sz w:val="21"/>
                <w:lang w:eastAsia="zh-CN"/>
              </w:rPr>
              <w:t xml:space="preserve">53 MW </w:t>
            </w:r>
            <w:r>
              <w:rPr>
                <w:color w:val="000000"/>
                <w:sz w:val="21"/>
                <w:lang w:eastAsia="zh-CN"/>
              </w:rPr>
              <w:t>夏季正午峰值（温室屋面</w:t>
            </w:r>
            <w:r>
              <w:rPr>
                <w:color w:val="000000"/>
                <w:sz w:val="21"/>
                <w:lang w:eastAsia="zh-CN"/>
              </w:rPr>
              <w:t xml:space="preserve"> 7.2 MW</w:t>
            </w:r>
            <w:r>
              <w:rPr>
                <w:color w:val="000000"/>
                <w:sz w:val="21"/>
                <w:lang w:eastAsia="zh-CN"/>
              </w:rPr>
              <w:t>＋二元循环冷凝器</w:t>
            </w:r>
            <w:r>
              <w:rPr>
                <w:color w:val="000000"/>
                <w:sz w:val="21"/>
                <w:lang w:eastAsia="zh-CN"/>
              </w:rPr>
              <w:t xml:space="preserve"> 10.7 MW</w:t>
            </w:r>
            <w:r>
              <w:rPr>
                <w:color w:val="000000"/>
                <w:sz w:val="21"/>
                <w:lang w:eastAsia="zh-CN"/>
              </w:rPr>
              <w:t>＋终端变热</w:t>
            </w:r>
            <w:r>
              <w:rPr>
                <w:color w:val="000000"/>
                <w:sz w:val="21"/>
                <w:lang w:eastAsia="zh-CN"/>
              </w:rPr>
              <w:t xml:space="preserve"> 4.6 MW−</w:t>
            </w:r>
            <w:r>
              <w:rPr>
                <w:color w:val="000000"/>
                <w:sz w:val="21"/>
                <w:lang w:eastAsia="zh-CN"/>
              </w:rPr>
              <w:t>冰模块吸热</w:t>
            </w:r>
            <w:r>
              <w:rPr>
                <w:color w:val="000000"/>
                <w:sz w:val="21"/>
                <w:lang w:eastAsia="zh-CN"/>
              </w:rPr>
              <w:t xml:space="preserve"> 1.5 MW</w:t>
            </w:r>
            <w:r>
              <w:rPr>
                <w:color w:val="000000"/>
                <w:sz w:val="21"/>
                <w:lang w:eastAsia="zh-CN"/>
              </w:rPr>
              <w:t>），排水约</w:t>
            </w:r>
            <w:r>
              <w:rPr>
                <w:color w:val="000000"/>
                <w:sz w:val="21"/>
                <w:lang w:eastAsia="zh-CN"/>
              </w:rPr>
              <w:t xml:space="preserve"> 30 ℃ </w:t>
            </w:r>
            <w:r>
              <w:rPr>
                <w:color w:val="000000"/>
                <w:sz w:val="21"/>
                <w:lang w:eastAsia="zh-CN"/>
              </w:rPr>
              <w:t>归还（取水年均约</w:t>
            </w:r>
            <w:r>
              <w:rPr>
                <w:color w:val="000000"/>
                <w:sz w:val="21"/>
                <w:lang w:eastAsia="zh-CN"/>
              </w:rPr>
              <w:t xml:space="preserve"> 14 ℃</w:t>
            </w:r>
            <w:r>
              <w:rPr>
                <w:color w:val="000000"/>
                <w:sz w:val="21"/>
                <w:lang w:eastAsia="zh-CN"/>
              </w:rPr>
              <w:t>，温升约</w:t>
            </w:r>
            <w:r>
              <w:rPr>
                <w:color w:val="000000"/>
                <w:sz w:val="21"/>
                <w:lang w:eastAsia="zh-CN"/>
              </w:rPr>
              <w:t xml:space="preserve"> 16 K</w:t>
            </w:r>
            <w:r>
              <w:rPr>
                <w:color w:val="000000"/>
                <w:sz w:val="21"/>
                <w:lang w:eastAsia="zh-CN"/>
              </w:rPr>
              <w:t>）；取排水</w:t>
            </w:r>
            <w:r>
              <w:rPr>
                <w:color w:val="000000"/>
                <w:sz w:val="21"/>
                <w:lang w:eastAsia="zh-CN"/>
              </w:rPr>
              <w:t xml:space="preserve"> 2.5 m³/s</w:t>
            </w:r>
            <w:r>
              <w:rPr>
                <w:color w:val="000000"/>
                <w:sz w:val="21"/>
                <w:lang w:eastAsia="zh-CN"/>
              </w:rPr>
              <w:t>，湾内增温约</w:t>
            </w:r>
            <w:r>
              <w:rPr>
                <w:color w:val="000000"/>
                <w:sz w:val="21"/>
                <w:lang w:eastAsia="zh-CN"/>
              </w:rPr>
              <w:t xml:space="preserve"> 0.0005 K</w:t>
            </w:r>
            <w:r>
              <w:rPr>
                <w:color w:val="000000"/>
                <w:sz w:val="21"/>
                <w:lang w:eastAsia="zh-CN"/>
              </w:rPr>
              <w:t>（判据</w:t>
            </w:r>
            <w:r>
              <w:rPr>
                <w:color w:val="000000"/>
                <w:sz w:val="21"/>
                <w:lang w:eastAsia="zh-CN"/>
              </w:rPr>
              <w:t xml:space="preserve"> ≤0.01 K</w:t>
            </w:r>
            <w:r>
              <w:rPr>
                <w:color w:val="000000"/>
                <w:sz w:val="21"/>
                <w:lang w:eastAsia="zh-CN"/>
              </w:rPr>
              <w:t>），取水占湾内交换量约</w:t>
            </w:r>
            <w:r>
              <w:rPr>
                <w:color w:val="000000"/>
                <w:sz w:val="21"/>
                <w:lang w:eastAsia="zh-CN"/>
              </w:rPr>
              <w:t xml:space="preserve"> 0.01%</w:t>
            </w:r>
            <w:r>
              <w:rPr>
                <w:color w:val="000000"/>
                <w:sz w:val="21"/>
                <w:lang w:eastAsia="zh-CN"/>
              </w:rPr>
              <w:t>（判据</w:t>
            </w:r>
            <w:r>
              <w:rPr>
                <w:color w:val="000000"/>
                <w:sz w:val="21"/>
                <w:lang w:eastAsia="zh-CN"/>
              </w:rPr>
              <w:t xml:space="preserve"> ≤1%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2891" w:type="dxa"/>
            <w:vAlign w:val="center"/>
          </w:tcPr>
          <w:p w14:paraId="3D02C134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本项目新方案（内部计算）</w:t>
            </w:r>
          </w:p>
        </w:tc>
      </w:tr>
      <w:tr w:rsidR="006C17C4" w14:paraId="02ED3C7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2841F22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51AB618C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冬季水温分层、潮流强弱变化时扩散效果波动；需生态哨兵联动监测并校核模型</w:t>
            </w:r>
          </w:p>
        </w:tc>
        <w:tc>
          <w:tcPr>
            <w:tcW w:w="2891" w:type="dxa"/>
            <w:vAlign w:val="center"/>
          </w:tcPr>
          <w:p w14:paraId="36CA1DFD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项目设计约束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行业通用实践</w:t>
            </w:r>
          </w:p>
        </w:tc>
      </w:tr>
      <w:tr w:rsidR="006C17C4" w14:paraId="5B0D20A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2366F7C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5D5FCD5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弥散结构＋生态哨兵＋取水占比上限，构成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有取有还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的生态界面</w:t>
            </w:r>
          </w:p>
        </w:tc>
        <w:tc>
          <w:tcPr>
            <w:tcW w:w="2891" w:type="dxa"/>
            <w:vAlign w:val="center"/>
          </w:tcPr>
          <w:p w14:paraId="3F55D65A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18AD7B5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1AB487E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4308D3B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电力行业通用工程实践；本项目新方案</w:t>
            </w:r>
          </w:p>
        </w:tc>
        <w:tc>
          <w:tcPr>
            <w:tcW w:w="2891" w:type="dxa"/>
            <w:vAlign w:val="center"/>
          </w:tcPr>
          <w:p w14:paraId="44AF6B20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5260EAAE" w14:textId="77777777" w:rsidR="006C17C4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四、科技创新：留出结构与知识余量</w:t>
      </w:r>
    </w:p>
    <w:p w14:paraId="6B17F2A5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旧世界的科技建立在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外部永远可靠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的假设上：电网、卫星、供应链、时间基准。地核冷却时代，这些假设全部动摇。科技创新的核心，是把不可依赖的外部，换成世界内部的冗余。</w:t>
      </w:r>
    </w:p>
    <w:p w14:paraId="10C49131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（一）模块化可重组结构：形状本身留有余地</w:t>
      </w:r>
    </w:p>
    <w:p w14:paraId="6002B1FB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 xml:space="preserve">10⁶ </w:t>
      </w:r>
      <w:r>
        <w:rPr>
          <w:color w:val="000000"/>
          <w:lang w:eastAsia="zh-CN"/>
        </w:rPr>
        <w:t>立方米是世界的初始体积，不是最终形状。全部舱段以标准接口拼接，薄板可重组为多层块体、可扩展为更大平台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先留出余量，再谈形状：这句话被直接做进了结构里。任何一次扩建或灾后修复，都不需要重造世界，只需要重组模块。</w:t>
      </w:r>
    </w:p>
    <w:p w14:paraId="6272D854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可行性评估：海洋平台与船舶的模块化设计</w:t>
      </w:r>
      <w:r>
        <w:rPr>
          <w:b/>
          <w:color w:val="000000"/>
          <w:lang w:eastAsia="zh-CN"/>
        </w:rPr>
        <w:t>—</w:t>
      </w:r>
      <w:r>
        <w:rPr>
          <w:b/>
          <w:color w:val="000000"/>
          <w:lang w:eastAsia="zh-CN"/>
        </w:rPr>
        <w:t>建造</w:t>
      </w:r>
      <w:r>
        <w:rPr>
          <w:b/>
          <w:color w:val="000000"/>
          <w:lang w:eastAsia="zh-CN"/>
        </w:rPr>
        <w:t>—</w:t>
      </w:r>
      <w:r>
        <w:rPr>
          <w:b/>
          <w:color w:val="000000"/>
          <w:lang w:eastAsia="zh-CN"/>
        </w:rPr>
        <w:t>总装是成熟模式；本项目将模块化从建造阶段延伸到运营期重组，属工程组织创新，风险在海上的重组作业窗口与接口密封。</w:t>
      </w:r>
    </w:p>
    <w:p w14:paraId="6AE1E8CD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8  </w:t>
      </w:r>
      <w:r>
        <w:rPr>
          <w:color w:val="000000"/>
          <w:sz w:val="21"/>
          <w:lang w:eastAsia="zh-CN"/>
        </w:rPr>
        <w:t>模块化可重组结构可行性评估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2FE78A14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7ACFBF4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424AA6A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44E8BEA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6961535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0A8E09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49BC7A43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船舶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海洋平台模块化设计建造成熟（分段建造、上部组块整体总装）</w:t>
            </w:r>
          </w:p>
        </w:tc>
        <w:tc>
          <w:tcPr>
            <w:tcW w:w="2891" w:type="dxa"/>
            <w:vAlign w:val="center"/>
          </w:tcPr>
          <w:p w14:paraId="5EAB36C7" w14:textId="77777777" w:rsidR="003B2AD2" w:rsidRDefault="00000000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  <w:r>
              <w:t>海工行业通用实践（分段建造、模块化总装）</w:t>
            </w:r>
          </w:p>
        </w:tc>
      </w:tr>
      <w:tr w:rsidR="006C17C4" w14:paraId="021CFCD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5C75C1E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5C25BC1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海上平台上部组块模块化建造与整体吊装；模块化建筑（如预制舱式建筑）规模化应用</w:t>
            </w:r>
          </w:p>
        </w:tc>
        <w:tc>
          <w:tcPr>
            <w:tcW w:w="2891" w:type="dxa"/>
            <w:vAlign w:val="center"/>
          </w:tcPr>
          <w:p w14:paraId="2EAEC735" w14:textId="77777777" w:rsidR="003B2AD2" w:rsidRDefault="00000000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  <w:r>
              <w:t>海工</w:t>
            </w:r>
            <w:r>
              <w:t>/</w:t>
            </w:r>
            <w:r>
              <w:t>建筑行业通用实践</w:t>
            </w:r>
          </w:p>
        </w:tc>
      </w:tr>
      <w:tr w:rsidR="006C17C4" w14:paraId="66ADF53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D1CB3FA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41313891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本项目：</w:t>
            </w:r>
            <w:r>
              <w:rPr>
                <w:color w:val="000000"/>
                <w:sz w:val="21"/>
                <w:lang w:eastAsia="zh-CN"/>
              </w:rPr>
              <w:t xml:space="preserve">10⁶ m³ </w:t>
            </w:r>
            <w:r>
              <w:rPr>
                <w:color w:val="000000"/>
                <w:sz w:val="21"/>
                <w:lang w:eastAsia="zh-CN"/>
              </w:rPr>
              <w:t>为初始体积，空间总账含战略预留</w:t>
            </w:r>
            <w:r>
              <w:rPr>
                <w:color w:val="000000"/>
                <w:sz w:val="21"/>
                <w:lang w:eastAsia="zh-CN"/>
              </w:rPr>
              <w:t xml:space="preserve"> 8.76%</w:t>
            </w:r>
            <w:r>
              <w:rPr>
                <w:color w:val="000000"/>
                <w:sz w:val="21"/>
                <w:lang w:eastAsia="zh-CN"/>
              </w:rPr>
              <w:t>（</w:t>
            </w:r>
            <w:r>
              <w:rPr>
                <w:color w:val="000000"/>
                <w:sz w:val="21"/>
                <w:lang w:eastAsia="zh-CN"/>
              </w:rPr>
              <w:t>87 600 m³</w:t>
            </w:r>
            <w:r>
              <w:rPr>
                <w:color w:val="000000"/>
                <w:sz w:val="21"/>
                <w:lang w:eastAsia="zh-CN"/>
              </w:rPr>
              <w:t>），为未来重组与扩建留位</w:t>
            </w:r>
          </w:p>
        </w:tc>
        <w:tc>
          <w:tcPr>
            <w:tcW w:w="2891" w:type="dxa"/>
            <w:vAlign w:val="center"/>
          </w:tcPr>
          <w:p w14:paraId="1853ECBE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本项目新方案（内部计算）</w:t>
            </w:r>
          </w:p>
        </w:tc>
      </w:tr>
      <w:tr w:rsidR="006C17C4" w14:paraId="23A9A3E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AA5F230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0B48EAC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海上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水下重组作业窗口受限；接口标准化与长期密封完整性需验证</w:t>
            </w:r>
          </w:p>
        </w:tc>
        <w:tc>
          <w:tcPr>
            <w:tcW w:w="2891" w:type="dxa"/>
            <w:vAlign w:val="center"/>
          </w:tcPr>
          <w:p w14:paraId="07640893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项目设计约束</w:t>
            </w:r>
            <w:r>
              <w:rPr>
                <w:sz w:val="21"/>
                <w:lang w:eastAsia="zh-CN"/>
              </w:rPr>
              <w:t xml:space="preserve"> / </w:t>
            </w:r>
            <w:r>
              <w:rPr>
                <w:sz w:val="21"/>
                <w:lang w:eastAsia="zh-CN"/>
              </w:rPr>
              <w:t>行业通用实践</w:t>
            </w:r>
          </w:p>
        </w:tc>
      </w:tr>
      <w:tr w:rsidR="006C17C4" w14:paraId="3FC6968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E02A19A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百万立方适配</w:t>
            </w:r>
          </w:p>
        </w:tc>
        <w:tc>
          <w:tcPr>
            <w:tcW w:w="4309" w:type="dxa"/>
            <w:vAlign w:val="center"/>
          </w:tcPr>
          <w:p w14:paraId="05FE5702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先留出余量，再谈形状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的结构化兑现：扩建与灾后修复只重组、不重造</w:t>
            </w:r>
          </w:p>
        </w:tc>
        <w:tc>
          <w:tcPr>
            <w:tcW w:w="2891" w:type="dxa"/>
            <w:vAlign w:val="center"/>
          </w:tcPr>
          <w:p w14:paraId="095C94D6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31759D1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08AA3FF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21C24262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海工行业通用实践；本项目新方案</w:t>
            </w:r>
          </w:p>
        </w:tc>
        <w:tc>
          <w:tcPr>
            <w:tcW w:w="2891" w:type="dxa"/>
            <w:vAlign w:val="center"/>
          </w:tcPr>
          <w:p w14:paraId="34796DCA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0818A333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（二）百年知识库：知识也要多重备份</w:t>
      </w:r>
    </w:p>
    <w:p w14:paraId="34398A35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旧世界的知识集中在少数机构与少数人脑中，一旦失效便成断代。本设计建立三重备份的知识库：纸质文献、惰性芯片与代际口述并行；每代人以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世界如何运转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为纲传承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能源、水、食物、材料、医疗各有一门必修的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冗余技能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。知识不依赖任何单一载体，正如世界不依赖任何单一能源。</w:t>
      </w:r>
    </w:p>
    <w:p w14:paraId="1E77F350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可行性评估：异地备份与长期储存有成熟先例（斯瓦尔巴全球种子库、北极世界档案馆）；风险在载体寿命与读取设备、以及口述传承的代际连续性。</w:t>
      </w:r>
    </w:p>
    <w:p w14:paraId="7ABE18A7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9  </w:t>
      </w:r>
      <w:r>
        <w:rPr>
          <w:color w:val="000000"/>
          <w:sz w:val="21"/>
          <w:lang w:eastAsia="zh-CN"/>
        </w:rPr>
        <w:t>百年知识库可行性评估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5BF7C575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9C4C1A4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C459DE6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55C75AE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55C72D3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B5EFC6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160618F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异地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长期储存实践成熟：种子库、数据档案库、纸质文献保存均有长期运行案例</w:t>
            </w:r>
          </w:p>
        </w:tc>
        <w:tc>
          <w:tcPr>
            <w:tcW w:w="2891" w:type="dxa"/>
            <w:vAlign w:val="center"/>
          </w:tcPr>
          <w:p w14:paraId="02F9A1BE" w14:textId="77777777" w:rsidR="006C17C4" w:rsidRDefault="006C17C4">
            <w:hyperlink r:id="rId31">
              <w:r>
                <w:rPr>
                  <w:color w:val="0000FF" w:themeColor="hyperlink"/>
                  <w:sz w:val="18"/>
                </w:rPr>
                <w:t xml:space="preserve">Svalbard Global Seed Vault </w:t>
              </w:r>
              <w:r>
                <w:rPr>
                  <w:color w:val="0000FF" w:themeColor="hyperlink"/>
                  <w:sz w:val="18"/>
                </w:rPr>
                <w:t>官网</w:t>
              </w:r>
            </w:hyperlink>
          </w:p>
          <w:p w14:paraId="3DBEA4DB" w14:textId="77777777" w:rsidR="006C17C4" w:rsidRDefault="006C17C4">
            <w:hyperlink r:id="rId32">
              <w:r>
                <w:rPr>
                  <w:color w:val="0000FF" w:themeColor="hyperlink"/>
                  <w:sz w:val="18"/>
                </w:rPr>
                <w:t>· Svalbard Global Seed Vault</w:t>
              </w:r>
              <w:r>
                <w:rPr>
                  <w:color w:val="0000FF" w:themeColor="hyperlink"/>
                  <w:sz w:val="18"/>
                </w:rPr>
                <w:t>：</w:t>
              </w:r>
              <w:r>
                <w:rPr>
                  <w:color w:val="0000FF" w:themeColor="hyperlink"/>
                  <w:sz w:val="18"/>
                </w:rPr>
                <w:t>Purpose &amp; Operations</w:t>
              </w:r>
            </w:hyperlink>
          </w:p>
        </w:tc>
      </w:tr>
      <w:tr w:rsidR="006C17C4" w14:paraId="5085527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51D9428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6AC996D3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斯瓦尔巴全球种子库（</w:t>
            </w:r>
            <w:r>
              <w:rPr>
                <w:color w:val="000000"/>
                <w:sz w:val="21"/>
                <w:lang w:eastAsia="zh-CN"/>
              </w:rPr>
              <w:t xml:space="preserve">2008 </w:t>
            </w:r>
            <w:r>
              <w:rPr>
                <w:color w:val="000000"/>
                <w:sz w:val="21"/>
                <w:lang w:eastAsia="zh-CN"/>
              </w:rPr>
              <w:t>年启用）；北极世界档案馆（</w:t>
            </w:r>
            <w:r>
              <w:rPr>
                <w:color w:val="000000"/>
                <w:sz w:val="21"/>
                <w:lang w:eastAsia="zh-CN"/>
              </w:rPr>
              <w:t xml:space="preserve">2017 </w:t>
            </w:r>
            <w:r>
              <w:rPr>
                <w:color w:val="000000"/>
                <w:sz w:val="21"/>
                <w:lang w:eastAsia="zh-CN"/>
              </w:rPr>
              <w:t>年启动，斯瓦尔巴地下矿井存储数据）</w:t>
            </w:r>
          </w:p>
        </w:tc>
        <w:tc>
          <w:tcPr>
            <w:tcW w:w="2891" w:type="dxa"/>
            <w:vAlign w:val="center"/>
          </w:tcPr>
          <w:p w14:paraId="52AC03C1" w14:textId="77777777" w:rsidR="006C17C4" w:rsidRDefault="006C17C4">
            <w:hyperlink r:id="rId33">
              <w:r>
                <w:rPr>
                  <w:color w:val="0000FF" w:themeColor="hyperlink"/>
                  <w:sz w:val="18"/>
                </w:rPr>
                <w:t xml:space="preserve">Svalbard Global Seed Vault </w:t>
              </w:r>
              <w:r>
                <w:rPr>
                  <w:color w:val="0000FF" w:themeColor="hyperlink"/>
                  <w:sz w:val="18"/>
                </w:rPr>
                <w:t>官网</w:t>
              </w:r>
            </w:hyperlink>
          </w:p>
          <w:p w14:paraId="2C18DA8E" w14:textId="77777777" w:rsidR="006C17C4" w:rsidRDefault="006C17C4">
            <w:hyperlink r:id="rId34">
              <w:r>
                <w:rPr>
                  <w:color w:val="0000FF" w:themeColor="hyperlink"/>
                  <w:sz w:val="18"/>
                </w:rPr>
                <w:t>· NordGen</w:t>
              </w:r>
              <w:r>
                <w:rPr>
                  <w:color w:val="0000FF" w:themeColor="hyperlink"/>
                  <w:sz w:val="18"/>
                </w:rPr>
                <w:t>：种子库管理</w:t>
              </w:r>
            </w:hyperlink>
          </w:p>
        </w:tc>
      </w:tr>
      <w:tr w:rsidR="006C17C4" w14:paraId="05F2D72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5B8EFF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42DA25E1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斯瓦尔巴种子库：种子样本</w:t>
            </w:r>
            <w:r>
              <w:rPr>
                <w:color w:val="000000"/>
                <w:sz w:val="21"/>
                <w:lang w:eastAsia="zh-CN"/>
              </w:rPr>
              <w:t xml:space="preserve"> 140 </w:t>
            </w:r>
            <w:r>
              <w:rPr>
                <w:color w:val="000000"/>
                <w:sz w:val="21"/>
                <w:lang w:eastAsia="zh-CN"/>
              </w:rPr>
              <w:t>万余份、约</w:t>
            </w:r>
            <w:r>
              <w:rPr>
                <w:color w:val="000000"/>
                <w:sz w:val="21"/>
                <w:lang w:eastAsia="zh-CN"/>
              </w:rPr>
              <w:t xml:space="preserve"> 6 539 </w:t>
            </w:r>
            <w:r>
              <w:rPr>
                <w:color w:val="000000"/>
                <w:sz w:val="21"/>
                <w:lang w:eastAsia="zh-CN"/>
              </w:rPr>
              <w:t>个物种、</w:t>
            </w:r>
            <w:r>
              <w:rPr>
                <w:color w:val="000000"/>
                <w:sz w:val="21"/>
                <w:lang w:eastAsia="zh-CN"/>
              </w:rPr>
              <w:t xml:space="preserve">134 </w:t>
            </w:r>
            <w:r>
              <w:rPr>
                <w:color w:val="000000"/>
                <w:sz w:val="21"/>
                <w:lang w:eastAsia="zh-CN"/>
              </w:rPr>
              <w:t>家存托机构；设计容量约</w:t>
            </w:r>
            <w:r>
              <w:rPr>
                <w:color w:val="000000"/>
                <w:sz w:val="21"/>
                <w:lang w:eastAsia="zh-CN"/>
              </w:rPr>
              <w:t xml:space="preserve"> 300 </w:t>
            </w:r>
            <w:r>
              <w:rPr>
                <w:color w:val="000000"/>
                <w:sz w:val="21"/>
                <w:lang w:eastAsia="zh-CN"/>
              </w:rPr>
              <w:t>万类种子（约</w:t>
            </w:r>
            <w:r>
              <w:rPr>
                <w:color w:val="000000"/>
                <w:sz w:val="21"/>
                <w:lang w:eastAsia="zh-CN"/>
              </w:rPr>
              <w:t xml:space="preserve"> 15 </w:t>
            </w:r>
            <w:r>
              <w:rPr>
                <w:color w:val="000000"/>
                <w:sz w:val="21"/>
                <w:lang w:eastAsia="zh-CN"/>
              </w:rPr>
              <w:t>亿粒）</w:t>
            </w:r>
          </w:p>
        </w:tc>
        <w:tc>
          <w:tcPr>
            <w:tcW w:w="2891" w:type="dxa"/>
            <w:vAlign w:val="center"/>
          </w:tcPr>
          <w:p w14:paraId="45EBF218" w14:textId="77777777" w:rsidR="006C17C4" w:rsidRDefault="006C17C4">
            <w:hyperlink r:id="rId35">
              <w:r>
                <w:rPr>
                  <w:color w:val="0000FF" w:themeColor="hyperlink"/>
                  <w:sz w:val="18"/>
                </w:rPr>
                <w:t>Svalbard Global Seed Vault</w:t>
              </w:r>
              <w:r>
                <w:rPr>
                  <w:color w:val="0000FF" w:themeColor="hyperlink"/>
                  <w:sz w:val="18"/>
                </w:rPr>
                <w:t>：突破</w:t>
              </w:r>
              <w:r>
                <w:rPr>
                  <w:color w:val="0000FF" w:themeColor="hyperlink"/>
                  <w:sz w:val="18"/>
                </w:rPr>
                <w:t>140</w:t>
              </w:r>
              <w:r>
                <w:rPr>
                  <w:color w:val="0000FF" w:themeColor="hyperlink"/>
                  <w:sz w:val="18"/>
                </w:rPr>
                <w:t>万份里程碑</w:t>
              </w:r>
            </w:hyperlink>
          </w:p>
          <w:p w14:paraId="07B355E5" w14:textId="77777777" w:rsidR="006C17C4" w:rsidRDefault="006C17C4">
            <w:hyperlink r:id="rId36">
              <w:r>
                <w:rPr>
                  <w:color w:val="0000FF" w:themeColor="hyperlink"/>
                  <w:sz w:val="18"/>
                </w:rPr>
                <w:t>· NordGen</w:t>
              </w:r>
              <w:r>
                <w:rPr>
                  <w:color w:val="0000FF" w:themeColor="hyperlink"/>
                  <w:sz w:val="18"/>
                </w:rPr>
                <w:t>：种子库存托机构</w:t>
              </w:r>
            </w:hyperlink>
          </w:p>
        </w:tc>
      </w:tr>
      <w:tr w:rsidR="006C17C4" w14:paraId="430666D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033FBE2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7552E058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纸质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芯片载体有寿命与读取设备依赖；口述传承依赖代际连续性；需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纸</w:t>
            </w:r>
            <w:r>
              <w:rPr>
                <w:color w:val="000000"/>
                <w:sz w:val="21"/>
                <w:lang w:eastAsia="zh-CN"/>
              </w:rPr>
              <w:t>—</w:t>
            </w:r>
            <w:r>
              <w:rPr>
                <w:color w:val="000000"/>
                <w:sz w:val="21"/>
                <w:lang w:eastAsia="zh-CN"/>
              </w:rPr>
              <w:t>芯</w:t>
            </w:r>
            <w:r>
              <w:rPr>
                <w:color w:val="000000"/>
                <w:sz w:val="21"/>
                <w:lang w:eastAsia="zh-CN"/>
              </w:rPr>
              <w:t>—</w:t>
            </w:r>
            <w:r>
              <w:rPr>
                <w:color w:val="000000"/>
                <w:sz w:val="21"/>
                <w:lang w:eastAsia="zh-CN"/>
              </w:rPr>
              <w:t>人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定期互校</w:t>
            </w:r>
          </w:p>
        </w:tc>
        <w:tc>
          <w:tcPr>
            <w:tcW w:w="2891" w:type="dxa"/>
            <w:vAlign w:val="center"/>
          </w:tcPr>
          <w:p w14:paraId="0775889B" w14:textId="77777777" w:rsidR="006C17C4" w:rsidRDefault="00000000">
            <w:r>
              <w:rPr>
                <w:sz w:val="18"/>
              </w:rPr>
              <w:t>档案保存工程实践</w:t>
            </w:r>
          </w:p>
        </w:tc>
      </w:tr>
      <w:tr w:rsidR="006C17C4" w14:paraId="41E406E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7A53434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47D09BC3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2 500 </w:t>
            </w:r>
            <w:r>
              <w:rPr>
                <w:color w:val="000000"/>
                <w:sz w:val="21"/>
                <w:lang w:eastAsia="zh-CN"/>
              </w:rPr>
              <w:t>人社会内三重备份，防止技术单点遗忘；与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教育即传承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衔接</w:t>
            </w:r>
          </w:p>
        </w:tc>
        <w:tc>
          <w:tcPr>
            <w:tcW w:w="2891" w:type="dxa"/>
            <w:vAlign w:val="center"/>
          </w:tcPr>
          <w:p w14:paraId="28F45EC2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4A05F9B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3EA92C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390CDC17" w14:textId="77777777" w:rsidR="006C17C4" w:rsidRDefault="00000000">
            <w:r>
              <w:rPr>
                <w:color w:val="000000"/>
                <w:sz w:val="21"/>
              </w:rPr>
              <w:t xml:space="preserve">Seed Vault </w:t>
            </w:r>
            <w:r>
              <w:rPr>
                <w:color w:val="000000"/>
                <w:sz w:val="21"/>
              </w:rPr>
              <w:t>官网；新华网；挪威政府；</w:t>
            </w:r>
            <w:r>
              <w:rPr>
                <w:color w:val="000000"/>
                <w:sz w:val="21"/>
              </w:rPr>
              <w:t>NordGen</w:t>
            </w:r>
          </w:p>
        </w:tc>
        <w:tc>
          <w:tcPr>
            <w:tcW w:w="2891" w:type="dxa"/>
            <w:vAlign w:val="center"/>
          </w:tcPr>
          <w:p w14:paraId="3D64405D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624AAC36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（三）自主授时与天文导航：世界有自己的钟</w:t>
      </w:r>
    </w:p>
    <w:p w14:paraId="65BD8AAD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当地球自转本身都在漂移时，外部的时间基准不再可靠。世界内以原子钟维持稳定节律，以天文观测校正长期漂移，形成独立的授时与导航系统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世界不再被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地球的时间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绑架，它拥有自己的钟，并据此安排自己的昼夜与季节。</w:t>
      </w:r>
    </w:p>
    <w:p w14:paraId="337E00BD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可行性评估：原子钟（铯钟）与天文导航均为成熟技术</w:t>
      </w:r>
      <w:r>
        <w:rPr>
          <w:b/>
          <w:color w:val="000000"/>
          <w:lang w:eastAsia="zh-CN"/>
        </w:rPr>
        <w:t>——</w:t>
      </w:r>
      <w:r>
        <w:rPr>
          <w:b/>
          <w:color w:val="000000"/>
          <w:lang w:eastAsia="zh-CN"/>
        </w:rPr>
        <w:t>铯原子钟是国际时间标准的物理基准；风险在原子钟长期漂移的校频与海上天文观测的天气依赖。</w:t>
      </w:r>
    </w:p>
    <w:p w14:paraId="03EF301A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lastRenderedPageBreak/>
        <w:t>表</w:t>
      </w:r>
      <w:r>
        <w:rPr>
          <w:color w:val="000000"/>
          <w:sz w:val="21"/>
          <w:lang w:eastAsia="zh-CN"/>
        </w:rPr>
        <w:t xml:space="preserve"> 10  </w:t>
      </w:r>
      <w:r>
        <w:rPr>
          <w:color w:val="000000"/>
          <w:sz w:val="21"/>
          <w:lang w:eastAsia="zh-CN"/>
        </w:rPr>
        <w:t>自主授时与天文导航可行性评估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1FA784E9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0A14F5F8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12CD820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106C23D6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0D4FCFE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8A2B303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14BA682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铯原子钟（</w:t>
            </w:r>
            <w:r>
              <w:rPr>
                <w:color w:val="000000"/>
                <w:sz w:val="21"/>
                <w:lang w:eastAsia="zh-CN"/>
              </w:rPr>
              <w:t xml:space="preserve">SI </w:t>
            </w:r>
            <w:r>
              <w:rPr>
                <w:color w:val="000000"/>
                <w:sz w:val="21"/>
                <w:lang w:eastAsia="zh-CN"/>
              </w:rPr>
              <w:t>秒定义基准）与天文导航（六分仪、星敏感器）均为成熟技术</w:t>
            </w:r>
          </w:p>
        </w:tc>
        <w:tc>
          <w:tcPr>
            <w:tcW w:w="2891" w:type="dxa"/>
            <w:vAlign w:val="center"/>
          </w:tcPr>
          <w:p w14:paraId="4E3AC04A" w14:textId="77777777" w:rsidR="006C17C4" w:rsidRDefault="006C17C4">
            <w:pPr>
              <w:rPr>
                <w:lang w:eastAsia="zh-CN"/>
              </w:rPr>
            </w:pPr>
            <w:hyperlink r:id="rId37">
              <w:r>
                <w:rPr>
                  <w:color w:val="0000FF" w:themeColor="hyperlink"/>
                  <w:sz w:val="18"/>
                  <w:lang w:eastAsia="zh-CN"/>
                </w:rPr>
                <w:t>中科院国家授时中心</w:t>
              </w:r>
            </w:hyperlink>
          </w:p>
          <w:p w14:paraId="3EEFB717" w14:textId="77777777" w:rsidR="006C17C4" w:rsidRDefault="006C17C4">
            <w:pPr>
              <w:rPr>
                <w:lang w:eastAsia="zh-CN"/>
              </w:rPr>
            </w:pPr>
            <w:hyperlink r:id="rId38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国际计量局（</w:t>
              </w:r>
              <w:r>
                <w:rPr>
                  <w:color w:val="0000FF" w:themeColor="hyperlink"/>
                  <w:sz w:val="18"/>
                  <w:lang w:eastAsia="zh-CN"/>
                </w:rPr>
                <w:t>BIPM</w:t>
              </w:r>
              <w:r>
                <w:rPr>
                  <w:color w:val="0000FF" w:themeColor="hyperlink"/>
                  <w:sz w:val="18"/>
                  <w:lang w:eastAsia="zh-CN"/>
                </w:rPr>
                <w:t>）：国际原子时</w:t>
              </w:r>
            </w:hyperlink>
          </w:p>
        </w:tc>
      </w:tr>
      <w:tr w:rsidR="006C17C4" w14:paraId="2AD2678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9E70BD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3FBDD873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铯原子钟为国际原子时基准；航海六分仪、航天星敏感器长期应用</w:t>
            </w:r>
          </w:p>
        </w:tc>
        <w:tc>
          <w:tcPr>
            <w:tcW w:w="2891" w:type="dxa"/>
            <w:vAlign w:val="center"/>
          </w:tcPr>
          <w:p w14:paraId="71258718" w14:textId="77777777" w:rsidR="006C17C4" w:rsidRDefault="006C17C4">
            <w:pPr>
              <w:rPr>
                <w:lang w:eastAsia="zh-CN"/>
              </w:rPr>
            </w:pPr>
            <w:hyperlink r:id="rId39">
              <w:r>
                <w:rPr>
                  <w:color w:val="0000FF" w:themeColor="hyperlink"/>
                  <w:sz w:val="18"/>
                  <w:lang w:eastAsia="zh-CN"/>
                </w:rPr>
                <w:t>中科院国家授时中心</w:t>
              </w:r>
            </w:hyperlink>
          </w:p>
          <w:p w14:paraId="47BCA352" w14:textId="77777777" w:rsidR="006C17C4" w:rsidRDefault="006C17C4">
            <w:pPr>
              <w:rPr>
                <w:lang w:eastAsia="zh-CN"/>
              </w:rPr>
            </w:pPr>
            <w:hyperlink r:id="rId40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国际计量局（</w:t>
              </w:r>
              <w:r>
                <w:rPr>
                  <w:color w:val="0000FF" w:themeColor="hyperlink"/>
                  <w:sz w:val="18"/>
                  <w:lang w:eastAsia="zh-CN"/>
                </w:rPr>
                <w:t>BIPM</w:t>
              </w:r>
              <w:r>
                <w:rPr>
                  <w:color w:val="0000FF" w:themeColor="hyperlink"/>
                  <w:sz w:val="18"/>
                  <w:lang w:eastAsia="zh-CN"/>
                </w:rPr>
                <w:t>）：时间计量</w:t>
              </w:r>
            </w:hyperlink>
          </w:p>
        </w:tc>
      </w:tr>
      <w:tr w:rsidR="006C17C4" w14:paraId="1BCB0C0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4DA0DEA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1C54B77B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铯原子钟频率准确度约</w:t>
            </w:r>
            <w:r>
              <w:rPr>
                <w:color w:val="000000"/>
                <w:sz w:val="21"/>
                <w:lang w:eastAsia="zh-CN"/>
              </w:rPr>
              <w:t xml:space="preserve"> 10⁻¹³ </w:t>
            </w:r>
            <w:r>
              <w:rPr>
                <w:color w:val="000000"/>
                <w:sz w:val="21"/>
                <w:lang w:eastAsia="zh-CN"/>
              </w:rPr>
              <w:t>量级；本项目信息层</w:t>
            </w:r>
            <w:r>
              <w:rPr>
                <w:color w:val="000000"/>
                <w:sz w:val="21"/>
                <w:lang w:eastAsia="zh-CN"/>
              </w:rPr>
              <w:t xml:space="preserve"> 5.0 GWh </w:t>
            </w:r>
            <w:r>
              <w:rPr>
                <w:color w:val="000000"/>
                <w:sz w:val="21"/>
                <w:lang w:eastAsia="zh-CN"/>
              </w:rPr>
              <w:t>可支撑本地授时与导航计算</w:t>
            </w:r>
          </w:p>
        </w:tc>
        <w:tc>
          <w:tcPr>
            <w:tcW w:w="2891" w:type="dxa"/>
            <w:vAlign w:val="center"/>
          </w:tcPr>
          <w:p w14:paraId="790FAB9E" w14:textId="77777777" w:rsidR="006C17C4" w:rsidRDefault="006C17C4">
            <w:pPr>
              <w:rPr>
                <w:lang w:eastAsia="zh-CN"/>
              </w:rPr>
            </w:pPr>
            <w:hyperlink r:id="rId41">
              <w:r>
                <w:rPr>
                  <w:color w:val="0000FF" w:themeColor="hyperlink"/>
                  <w:sz w:val="18"/>
                  <w:lang w:eastAsia="zh-CN"/>
                </w:rPr>
                <w:t>中科院国家授时中心：铯原子钟</w:t>
              </w:r>
            </w:hyperlink>
          </w:p>
          <w:p w14:paraId="6937C69B" w14:textId="77777777" w:rsidR="006C17C4" w:rsidRDefault="006C17C4">
            <w:pPr>
              <w:rPr>
                <w:lang w:eastAsia="zh-CN"/>
              </w:rPr>
            </w:pPr>
            <w:hyperlink r:id="rId42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国际计量局（</w:t>
              </w:r>
              <w:r>
                <w:rPr>
                  <w:color w:val="0000FF" w:themeColor="hyperlink"/>
                  <w:sz w:val="18"/>
                  <w:lang w:eastAsia="zh-CN"/>
                </w:rPr>
                <w:t>BIPM</w:t>
              </w:r>
              <w:r>
                <w:rPr>
                  <w:color w:val="0000FF" w:themeColor="hyperlink"/>
                  <w:sz w:val="18"/>
                  <w:lang w:eastAsia="zh-CN"/>
                </w:rPr>
                <w:t>）：</w:t>
              </w:r>
              <w:r>
                <w:rPr>
                  <w:color w:val="0000FF" w:themeColor="hyperlink"/>
                  <w:sz w:val="18"/>
                  <w:lang w:eastAsia="zh-CN"/>
                </w:rPr>
                <w:t>SI</w:t>
              </w:r>
              <w:r>
                <w:rPr>
                  <w:color w:val="0000FF" w:themeColor="hyperlink"/>
                  <w:sz w:val="18"/>
                  <w:lang w:eastAsia="zh-CN"/>
                </w:rPr>
                <w:t>秒定义</w:t>
              </w:r>
            </w:hyperlink>
          </w:p>
        </w:tc>
      </w:tr>
      <w:tr w:rsidR="006C17C4" w14:paraId="519D666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799AC68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3D77E447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原子钟长期运行需自持校频或外部基准比对；海上天文观测受云雨天气影响，需惯性器件冗余</w:t>
            </w:r>
          </w:p>
        </w:tc>
        <w:tc>
          <w:tcPr>
            <w:tcW w:w="2891" w:type="dxa"/>
            <w:vAlign w:val="center"/>
          </w:tcPr>
          <w:p w14:paraId="3B7D511C" w14:textId="77777777" w:rsidR="006C17C4" w:rsidRDefault="006C17C4">
            <w:pPr>
              <w:rPr>
                <w:lang w:eastAsia="zh-CN"/>
              </w:rPr>
            </w:pPr>
            <w:hyperlink r:id="rId43">
              <w:r>
                <w:rPr>
                  <w:color w:val="0000FF" w:themeColor="hyperlink"/>
                  <w:sz w:val="18"/>
                  <w:lang w:eastAsia="zh-CN"/>
                </w:rPr>
                <w:t>中科院国家授时中心：原子钟长期漂移</w:t>
              </w:r>
            </w:hyperlink>
          </w:p>
        </w:tc>
      </w:tr>
      <w:tr w:rsidR="006C17C4" w14:paraId="1BA3ABA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E6F59D6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30D63259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与外部时间解耦，建立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世界自己的钟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，回应日长漂移设定</w:t>
            </w:r>
          </w:p>
        </w:tc>
        <w:tc>
          <w:tcPr>
            <w:tcW w:w="2891" w:type="dxa"/>
            <w:vAlign w:val="center"/>
          </w:tcPr>
          <w:p w14:paraId="24563E60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753DA95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0FC5FFB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1CFB233C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计量学与航海通用实践；本项目新方案</w:t>
            </w:r>
          </w:p>
        </w:tc>
        <w:tc>
          <w:tcPr>
            <w:tcW w:w="2891" w:type="dxa"/>
            <w:vAlign w:val="center"/>
          </w:tcPr>
          <w:p w14:paraId="698382CC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59958721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（四）材料余量账本：看得见的百年储备</w:t>
      </w:r>
    </w:p>
    <w:p w14:paraId="586DDCD2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每个部件都登记一条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余量记录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：再生路径、备件倍率、剩余寿命。百年材料账实时可视，谁在消耗、还能再生几次、库存还剩多少，一目了然。余量被看见，才会被尊重。</w:t>
      </w:r>
    </w:p>
    <w:p w14:paraId="09BD4A58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可行性评估：资产全生命周期管理（</w:t>
      </w:r>
      <w:r>
        <w:rPr>
          <w:b/>
          <w:color w:val="000000"/>
          <w:lang w:eastAsia="zh-CN"/>
        </w:rPr>
        <w:t>EAM/MRO</w:t>
      </w:r>
      <w:r>
        <w:rPr>
          <w:b/>
          <w:color w:val="000000"/>
          <w:lang w:eastAsia="zh-CN"/>
        </w:rPr>
        <w:t>）已是成熟的数字化管理方式；本项目把其与备件倍率、再加工能耗等物理账挂钩，属管理创新而非技术风险。</w:t>
      </w:r>
    </w:p>
    <w:p w14:paraId="3DD9D495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11  </w:t>
      </w:r>
      <w:r>
        <w:rPr>
          <w:color w:val="000000"/>
          <w:sz w:val="21"/>
          <w:lang w:eastAsia="zh-CN"/>
        </w:rPr>
        <w:t>材料余量账本可行性评估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0FB94F4F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8BD1DF6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A334B4C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5CDC6FC9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3E87744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32442A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311D8F94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资产全生命周期管理（</w:t>
            </w:r>
            <w:r>
              <w:rPr>
                <w:color w:val="000000"/>
                <w:sz w:val="21"/>
                <w:lang w:eastAsia="zh-CN"/>
              </w:rPr>
              <w:t>EAM/MRO</w:t>
            </w:r>
            <w:r>
              <w:rPr>
                <w:color w:val="000000"/>
                <w:sz w:val="21"/>
                <w:lang w:eastAsia="zh-CN"/>
              </w:rPr>
              <w:t>）与数字孪生台账为成熟软件化管理方式</w:t>
            </w:r>
          </w:p>
        </w:tc>
        <w:tc>
          <w:tcPr>
            <w:tcW w:w="2891" w:type="dxa"/>
            <w:vAlign w:val="center"/>
          </w:tcPr>
          <w:p w14:paraId="561A0039" w14:textId="77777777" w:rsidR="006C17C4" w:rsidRDefault="006C17C4">
            <w:hyperlink r:id="rId44">
              <w:r>
                <w:rPr>
                  <w:color w:val="0000FF" w:themeColor="hyperlink"/>
                  <w:sz w:val="18"/>
                </w:rPr>
                <w:t>SAP EAM</w:t>
              </w:r>
              <w:r>
                <w:rPr>
                  <w:color w:val="0000FF" w:themeColor="hyperlink"/>
                  <w:sz w:val="18"/>
                </w:rPr>
                <w:t>：企业资产管理</w:t>
              </w:r>
            </w:hyperlink>
          </w:p>
        </w:tc>
      </w:tr>
      <w:tr w:rsidR="006C17C4" w14:paraId="0DC5445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D84C55F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1994B7D6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企业资产管理软件（如</w:t>
            </w:r>
            <w:r>
              <w:rPr>
                <w:color w:val="000000"/>
                <w:sz w:val="21"/>
                <w:lang w:eastAsia="zh-CN"/>
              </w:rPr>
              <w:t xml:space="preserve"> SAP EAM </w:t>
            </w:r>
            <w:r>
              <w:rPr>
                <w:color w:val="000000"/>
                <w:sz w:val="21"/>
                <w:lang w:eastAsia="zh-CN"/>
              </w:rPr>
              <w:t>类系统）在电力、船舶行业广泛应用</w:t>
            </w:r>
          </w:p>
        </w:tc>
        <w:tc>
          <w:tcPr>
            <w:tcW w:w="2891" w:type="dxa"/>
            <w:vAlign w:val="center"/>
          </w:tcPr>
          <w:p w14:paraId="795D5CFD" w14:textId="77777777" w:rsidR="006C17C4" w:rsidRDefault="006C17C4">
            <w:hyperlink r:id="rId45">
              <w:r>
                <w:rPr>
                  <w:color w:val="0000FF" w:themeColor="hyperlink"/>
                  <w:sz w:val="18"/>
                </w:rPr>
                <w:t>SAP EAM</w:t>
              </w:r>
              <w:r>
                <w:rPr>
                  <w:color w:val="0000FF" w:themeColor="hyperlink"/>
                  <w:sz w:val="18"/>
                </w:rPr>
                <w:t>：行业通用实践</w:t>
              </w:r>
            </w:hyperlink>
          </w:p>
        </w:tc>
      </w:tr>
      <w:tr w:rsidR="006C17C4" w14:paraId="31E6855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3DC270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0FD14A4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本项目：一次性携带材料约</w:t>
            </w:r>
            <w:r>
              <w:rPr>
                <w:color w:val="000000"/>
                <w:sz w:val="21"/>
                <w:lang w:eastAsia="zh-CN"/>
              </w:rPr>
              <w:t xml:space="preserve"> 8 700 t</w:t>
            </w:r>
            <w:r>
              <w:rPr>
                <w:color w:val="000000"/>
                <w:sz w:val="21"/>
                <w:lang w:eastAsia="zh-CN"/>
              </w:rPr>
              <w:t>（人均约</w:t>
            </w:r>
            <w:r>
              <w:rPr>
                <w:color w:val="000000"/>
                <w:sz w:val="21"/>
                <w:lang w:eastAsia="zh-CN"/>
              </w:rPr>
              <w:t xml:space="preserve"> 3.5 t</w:t>
            </w:r>
            <w:r>
              <w:rPr>
                <w:color w:val="000000"/>
                <w:sz w:val="21"/>
                <w:lang w:eastAsia="zh-CN"/>
              </w:rPr>
              <w:t>）、备件倍率</w:t>
            </w:r>
            <w:r>
              <w:rPr>
                <w:color w:val="000000"/>
                <w:sz w:val="21"/>
                <w:lang w:eastAsia="zh-CN"/>
              </w:rPr>
              <w:t xml:space="preserve"> 0.43</w:t>
            </w:r>
            <w:r>
              <w:rPr>
                <w:color w:val="000000"/>
                <w:sz w:val="21"/>
                <w:lang w:eastAsia="zh-CN"/>
              </w:rPr>
              <w:t>、再加工能耗约</w:t>
            </w:r>
            <w:r>
              <w:rPr>
                <w:color w:val="000000"/>
                <w:sz w:val="21"/>
                <w:lang w:eastAsia="zh-CN"/>
              </w:rPr>
              <w:t xml:space="preserve"> 1.02 GWh/</w:t>
            </w:r>
            <w:r>
              <w:rPr>
                <w:color w:val="000000"/>
                <w:sz w:val="21"/>
                <w:lang w:eastAsia="zh-CN"/>
              </w:rPr>
              <w:t>年（占富余</w:t>
            </w:r>
            <w:r>
              <w:rPr>
                <w:color w:val="000000"/>
                <w:sz w:val="21"/>
                <w:lang w:eastAsia="zh-CN"/>
              </w:rPr>
              <w:t xml:space="preserve"> 4.4%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2891" w:type="dxa"/>
            <w:vAlign w:val="center"/>
          </w:tcPr>
          <w:p w14:paraId="6B1C25E4" w14:textId="77777777" w:rsidR="006C17C4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本项目新方案（内部计算）</w:t>
            </w:r>
          </w:p>
        </w:tc>
      </w:tr>
      <w:tr w:rsidR="006C17C4" w14:paraId="1307C02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395B7C3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51B7A249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账实一致依赖数字化系统与人工定期核验的双轨机制</w:t>
            </w:r>
          </w:p>
        </w:tc>
        <w:tc>
          <w:tcPr>
            <w:tcW w:w="2891" w:type="dxa"/>
            <w:vAlign w:val="center"/>
          </w:tcPr>
          <w:p w14:paraId="0CD99A79" w14:textId="77777777" w:rsidR="006C17C4" w:rsidRDefault="00000000">
            <w:r>
              <w:rPr>
                <w:sz w:val="18"/>
              </w:rPr>
              <w:t>管理实践</w:t>
            </w:r>
          </w:p>
        </w:tc>
      </w:tr>
      <w:tr w:rsidR="006C17C4" w14:paraId="555A2E8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B63EB8B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334FF6A2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百年材料账可视，让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留余量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可盘点、可审计</w:t>
            </w:r>
          </w:p>
        </w:tc>
        <w:tc>
          <w:tcPr>
            <w:tcW w:w="2891" w:type="dxa"/>
            <w:vAlign w:val="center"/>
          </w:tcPr>
          <w:p w14:paraId="1DB5751A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0198C6D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FB7C0D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476DE31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行业通用实践；本项目新方案</w:t>
            </w:r>
          </w:p>
        </w:tc>
        <w:tc>
          <w:tcPr>
            <w:tcW w:w="2891" w:type="dxa"/>
            <w:vAlign w:val="center"/>
          </w:tcPr>
          <w:p w14:paraId="5DAE44F8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5D1123C2" w14:textId="77777777" w:rsidR="006C17C4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>五、人群创新：留出时间与社会余量</w:t>
      </w:r>
    </w:p>
    <w:p w14:paraId="7595BAC4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灾难不可控的时代，最珍贵也最脆弱的余量在人群内部：信任、照护、记忆与时间。人群创新的目标，是让</w:t>
      </w:r>
      <w:r>
        <w:rPr>
          <w:color w:val="000000"/>
          <w:lang w:eastAsia="zh-CN"/>
        </w:rPr>
        <w:t xml:space="preserve"> 2 500 </w:t>
      </w:r>
      <w:r>
        <w:rPr>
          <w:color w:val="000000"/>
          <w:lang w:eastAsia="zh-CN"/>
        </w:rPr>
        <w:t>人的社会在长夜里依然温暖、完整、彼此依靠。</w:t>
      </w:r>
    </w:p>
    <w:p w14:paraId="0C2AEF16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（一）时间银行：把照护变成可储蓄的资产</w:t>
      </w:r>
    </w:p>
    <w:p w14:paraId="6622D876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世界人口结构中，</w:t>
      </w:r>
      <w:r>
        <w:rPr>
          <w:color w:val="000000"/>
          <w:lang w:eastAsia="zh-CN"/>
        </w:rPr>
        <w:t xml:space="preserve">65 </w:t>
      </w:r>
      <w:r>
        <w:rPr>
          <w:color w:val="000000"/>
          <w:lang w:eastAsia="zh-CN"/>
        </w:rPr>
        <w:t>岁及以上占</w:t>
      </w:r>
      <w:r>
        <w:rPr>
          <w:color w:val="000000"/>
          <w:lang w:eastAsia="zh-CN"/>
        </w:rPr>
        <w:t xml:space="preserve"> 21.92%</w:t>
      </w:r>
      <w:r>
        <w:rPr>
          <w:color w:val="000000"/>
          <w:lang w:eastAsia="zh-CN"/>
        </w:rPr>
        <w:t>。本设计引入时间银行：照顾老人、孩子与邻里的时间可以储蓄，日后按需支取。抚养负担不再是单向消耗，而成为可流通的社会资产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社会为彼此的晚年与童年留出余量。</w:t>
      </w:r>
    </w:p>
    <w:p w14:paraId="61D70CEB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可行性评估：时间银行在我国已由政府主导多地试点并制度化，南京、上海等地形成了可复制的运行机制；主要挑战是通存通兑的长期信用与服务的标准化。</w:t>
      </w:r>
    </w:p>
    <w:p w14:paraId="12177C59" w14:textId="77777777" w:rsidR="006C17C4" w:rsidRDefault="00000000">
      <w:pPr>
        <w:spacing w:before="80" w:after="120"/>
        <w:jc w:val="center"/>
      </w:pPr>
      <w:r>
        <w:rPr>
          <w:color w:val="000000"/>
          <w:sz w:val="21"/>
        </w:rPr>
        <w:t>表</w:t>
      </w:r>
      <w:r>
        <w:rPr>
          <w:color w:val="000000"/>
          <w:sz w:val="21"/>
        </w:rPr>
        <w:t xml:space="preserve"> 12  </w:t>
      </w:r>
      <w:r>
        <w:rPr>
          <w:color w:val="000000"/>
          <w:sz w:val="21"/>
        </w:rPr>
        <w:t>时间银行可行性评估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5F0F2252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2A0A282B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62B3B82F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23ADD69E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57A8101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2A4831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5C4631B8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时间银行互助养老在我国多地政府主导试点，已有市级统一平台与制度文件</w:t>
            </w:r>
          </w:p>
        </w:tc>
        <w:tc>
          <w:tcPr>
            <w:tcW w:w="2891" w:type="dxa"/>
            <w:vAlign w:val="center"/>
          </w:tcPr>
          <w:p w14:paraId="0BEE3F4E" w14:textId="77777777" w:rsidR="006C17C4" w:rsidRDefault="006C17C4">
            <w:pPr>
              <w:rPr>
                <w:lang w:eastAsia="zh-CN"/>
              </w:rPr>
            </w:pPr>
            <w:hyperlink r:id="rId46">
              <w:r>
                <w:rPr>
                  <w:color w:val="0000FF" w:themeColor="hyperlink"/>
                  <w:sz w:val="18"/>
                  <w:lang w:eastAsia="zh-CN"/>
                </w:rPr>
                <w:t>中国老龄协会：南京互助性养老服务</w:t>
              </w:r>
            </w:hyperlink>
          </w:p>
          <w:p w14:paraId="4DFF568C" w14:textId="77777777" w:rsidR="006C17C4" w:rsidRDefault="006C17C4">
            <w:hyperlink r:id="rId47">
              <w:r>
                <w:rPr>
                  <w:color w:val="0000FF" w:themeColor="hyperlink"/>
                  <w:sz w:val="18"/>
                </w:rPr>
                <w:t xml:space="preserve">· </w:t>
              </w:r>
              <w:r>
                <w:rPr>
                  <w:color w:val="0000FF" w:themeColor="hyperlink"/>
                  <w:sz w:val="18"/>
                </w:rPr>
                <w:t>民政部官网</w:t>
              </w:r>
            </w:hyperlink>
          </w:p>
        </w:tc>
      </w:tr>
      <w:tr w:rsidR="006C17C4" w14:paraId="5197065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57D933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1D85E83F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南京：</w:t>
            </w:r>
            <w:r>
              <w:rPr>
                <w:color w:val="000000"/>
                <w:sz w:val="21"/>
                <w:lang w:eastAsia="zh-CN"/>
              </w:rPr>
              <w:t xml:space="preserve">2019 </w:t>
            </w:r>
            <w:r>
              <w:rPr>
                <w:color w:val="000000"/>
                <w:sz w:val="21"/>
                <w:lang w:eastAsia="zh-CN"/>
              </w:rPr>
              <w:t>年试点、</w:t>
            </w:r>
            <w:r>
              <w:rPr>
                <w:color w:val="000000"/>
                <w:sz w:val="21"/>
                <w:lang w:eastAsia="zh-CN"/>
              </w:rPr>
              <w:t xml:space="preserve">2023 </w:t>
            </w:r>
            <w:r>
              <w:rPr>
                <w:color w:val="000000"/>
                <w:sz w:val="21"/>
                <w:lang w:eastAsia="zh-CN"/>
              </w:rPr>
              <w:t>年升级为全市统一平台；上海：</w:t>
            </w:r>
            <w:r>
              <w:rPr>
                <w:color w:val="000000"/>
                <w:sz w:val="21"/>
                <w:lang w:eastAsia="zh-CN"/>
              </w:rPr>
              <w:t xml:space="preserve">2019 </w:t>
            </w:r>
            <w:r>
              <w:rPr>
                <w:color w:val="000000"/>
                <w:sz w:val="21"/>
                <w:lang w:eastAsia="zh-CN"/>
              </w:rPr>
              <w:t>年虹口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长宁试点，</w:t>
            </w:r>
            <w:r>
              <w:rPr>
                <w:color w:val="000000"/>
                <w:sz w:val="21"/>
                <w:lang w:eastAsia="zh-CN"/>
              </w:rPr>
              <w:t xml:space="preserve">2026 </w:t>
            </w:r>
            <w:r>
              <w:rPr>
                <w:color w:val="000000"/>
                <w:sz w:val="21"/>
                <w:lang w:eastAsia="zh-CN"/>
              </w:rPr>
              <w:t>年施行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沪助养老时光汇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管理办法；北京、青岛、成都等地探索</w:t>
            </w:r>
          </w:p>
        </w:tc>
        <w:tc>
          <w:tcPr>
            <w:tcW w:w="2891" w:type="dxa"/>
            <w:vAlign w:val="center"/>
          </w:tcPr>
          <w:p w14:paraId="352B7A00" w14:textId="77777777" w:rsidR="006C17C4" w:rsidRDefault="006C17C4">
            <w:pPr>
              <w:rPr>
                <w:lang w:eastAsia="zh-CN"/>
              </w:rPr>
            </w:pPr>
            <w:hyperlink r:id="rId48">
              <w:r>
                <w:rPr>
                  <w:color w:val="0000FF" w:themeColor="hyperlink"/>
                  <w:sz w:val="18"/>
                  <w:lang w:eastAsia="zh-CN"/>
                </w:rPr>
                <w:t>中国老龄协会：南京时间银行</w:t>
              </w:r>
            </w:hyperlink>
          </w:p>
          <w:p w14:paraId="5FF425EB" w14:textId="77777777" w:rsidR="006C17C4" w:rsidRDefault="006C17C4">
            <w:pPr>
              <w:rPr>
                <w:lang w:eastAsia="zh-CN"/>
              </w:rPr>
            </w:pPr>
            <w:hyperlink r:id="rId49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央广网：上海</w:t>
              </w:r>
              <w:r>
                <w:rPr>
                  <w:color w:val="0000FF" w:themeColor="hyperlink"/>
                  <w:sz w:val="18"/>
                  <w:lang w:eastAsia="zh-CN"/>
                </w:rPr>
                <w:t>“</w:t>
              </w:r>
              <w:r>
                <w:rPr>
                  <w:color w:val="0000FF" w:themeColor="hyperlink"/>
                  <w:sz w:val="18"/>
                  <w:lang w:eastAsia="zh-CN"/>
                </w:rPr>
                <w:t>时间银行</w:t>
              </w:r>
              <w:r>
                <w:rPr>
                  <w:color w:val="0000FF" w:themeColor="hyperlink"/>
                  <w:sz w:val="18"/>
                  <w:lang w:eastAsia="zh-CN"/>
                </w:rPr>
                <w:t>“</w:t>
              </w:r>
            </w:hyperlink>
          </w:p>
          <w:p w14:paraId="345F92FF" w14:textId="77777777" w:rsidR="006C17C4" w:rsidRDefault="006C17C4">
            <w:pPr>
              <w:rPr>
                <w:lang w:eastAsia="zh-CN"/>
              </w:rPr>
            </w:pPr>
            <w:hyperlink r:id="rId50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民政部：时间银行风险提示</w:t>
              </w:r>
            </w:hyperlink>
          </w:p>
        </w:tc>
      </w:tr>
      <w:tr w:rsidR="006C17C4" w14:paraId="0D95B40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9DA4EC8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370D2413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南京：互助养老站点</w:t>
            </w:r>
            <w:r>
              <w:rPr>
                <w:color w:val="000000"/>
                <w:sz w:val="21"/>
                <w:lang w:eastAsia="zh-CN"/>
              </w:rPr>
              <w:t xml:space="preserve"> 1 300 </w:t>
            </w:r>
            <w:r>
              <w:rPr>
                <w:color w:val="000000"/>
                <w:sz w:val="21"/>
                <w:lang w:eastAsia="zh-CN"/>
              </w:rPr>
              <w:t>余个、覆盖</w:t>
            </w:r>
            <w:r>
              <w:rPr>
                <w:color w:val="000000"/>
                <w:sz w:val="21"/>
                <w:lang w:eastAsia="zh-CN"/>
              </w:rPr>
              <w:t xml:space="preserve"> 99% </w:t>
            </w:r>
            <w:r>
              <w:rPr>
                <w:color w:val="000000"/>
                <w:sz w:val="21"/>
                <w:lang w:eastAsia="zh-CN"/>
              </w:rPr>
              <w:t>以上社区、注册志愿者</w:t>
            </w:r>
            <w:r>
              <w:rPr>
                <w:color w:val="000000"/>
                <w:sz w:val="21"/>
                <w:lang w:eastAsia="zh-CN"/>
              </w:rPr>
              <w:t xml:space="preserve"> 9.4 </w:t>
            </w:r>
            <w:r>
              <w:rPr>
                <w:color w:val="000000"/>
                <w:sz w:val="21"/>
                <w:lang w:eastAsia="zh-CN"/>
              </w:rPr>
              <w:t>万人、累计订单</w:t>
            </w:r>
            <w:r>
              <w:rPr>
                <w:color w:val="000000"/>
                <w:sz w:val="21"/>
                <w:lang w:eastAsia="zh-CN"/>
              </w:rPr>
              <w:t xml:space="preserve"> 147 </w:t>
            </w:r>
            <w:r>
              <w:rPr>
                <w:color w:val="000000"/>
                <w:sz w:val="21"/>
                <w:lang w:eastAsia="zh-CN"/>
              </w:rPr>
              <w:t>万个、存储服务时间</w:t>
            </w:r>
            <w:r>
              <w:rPr>
                <w:color w:val="000000"/>
                <w:sz w:val="21"/>
                <w:lang w:eastAsia="zh-CN"/>
              </w:rPr>
              <w:t xml:space="preserve"> 92 </w:t>
            </w:r>
            <w:r>
              <w:rPr>
                <w:color w:val="000000"/>
                <w:sz w:val="21"/>
                <w:lang w:eastAsia="zh-CN"/>
              </w:rPr>
              <w:t>万小时</w:t>
            </w:r>
          </w:p>
        </w:tc>
        <w:tc>
          <w:tcPr>
            <w:tcW w:w="2891" w:type="dxa"/>
            <w:vAlign w:val="center"/>
          </w:tcPr>
          <w:p w14:paraId="0E2DC971" w14:textId="77777777" w:rsidR="006C17C4" w:rsidRDefault="006C17C4">
            <w:pPr>
              <w:rPr>
                <w:lang w:eastAsia="zh-CN"/>
              </w:rPr>
            </w:pPr>
            <w:hyperlink r:id="rId51">
              <w:r>
                <w:rPr>
                  <w:color w:val="0000FF" w:themeColor="hyperlink"/>
                  <w:sz w:val="18"/>
                  <w:lang w:eastAsia="zh-CN"/>
                </w:rPr>
                <w:t>中国老龄协会：南京</w:t>
              </w:r>
              <w:r>
                <w:rPr>
                  <w:color w:val="0000FF" w:themeColor="hyperlink"/>
                  <w:sz w:val="18"/>
                  <w:lang w:eastAsia="zh-CN"/>
                </w:rPr>
                <w:t>1300</w:t>
              </w:r>
              <w:r>
                <w:rPr>
                  <w:color w:val="0000FF" w:themeColor="hyperlink"/>
                  <w:sz w:val="18"/>
                  <w:lang w:eastAsia="zh-CN"/>
                </w:rPr>
                <w:t>站点、</w:t>
              </w:r>
              <w:r>
                <w:rPr>
                  <w:color w:val="0000FF" w:themeColor="hyperlink"/>
                  <w:sz w:val="18"/>
                  <w:lang w:eastAsia="zh-CN"/>
                </w:rPr>
                <w:t>9.4</w:t>
              </w:r>
              <w:r>
                <w:rPr>
                  <w:color w:val="0000FF" w:themeColor="hyperlink"/>
                  <w:sz w:val="18"/>
                  <w:lang w:eastAsia="zh-CN"/>
                </w:rPr>
                <w:t>万志愿者、</w:t>
              </w:r>
              <w:r>
                <w:rPr>
                  <w:color w:val="0000FF" w:themeColor="hyperlink"/>
                  <w:sz w:val="18"/>
                  <w:lang w:eastAsia="zh-CN"/>
                </w:rPr>
                <w:t>92</w:t>
              </w:r>
              <w:r>
                <w:rPr>
                  <w:color w:val="0000FF" w:themeColor="hyperlink"/>
                  <w:sz w:val="18"/>
                  <w:lang w:eastAsia="zh-CN"/>
                </w:rPr>
                <w:t>万小时</w:t>
              </w:r>
            </w:hyperlink>
          </w:p>
        </w:tc>
      </w:tr>
      <w:tr w:rsidR="006C17C4" w14:paraId="1D35E38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328C21E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0DABD49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通存通兑的长期信用依赖制度背书；服务标准化与质量评价需配套</w:t>
            </w:r>
          </w:p>
        </w:tc>
        <w:tc>
          <w:tcPr>
            <w:tcW w:w="2891" w:type="dxa"/>
            <w:vAlign w:val="center"/>
          </w:tcPr>
          <w:p w14:paraId="14084B1A" w14:textId="77777777" w:rsidR="006C17C4" w:rsidRDefault="00000000">
            <w:r>
              <w:rPr>
                <w:sz w:val="18"/>
              </w:rPr>
              <w:t>试点运行经验</w:t>
            </w:r>
          </w:p>
        </w:tc>
      </w:tr>
      <w:tr w:rsidR="006C17C4" w14:paraId="3A0BF0A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766D65D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7F3A6E38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2 500 </w:t>
            </w:r>
            <w:r>
              <w:rPr>
                <w:color w:val="000000"/>
                <w:sz w:val="21"/>
                <w:lang w:eastAsia="zh-CN"/>
              </w:rPr>
              <w:t>人封闭社区内闭环，</w:t>
            </w:r>
            <w:r>
              <w:rPr>
                <w:color w:val="000000"/>
                <w:sz w:val="21"/>
                <w:lang w:eastAsia="zh-CN"/>
              </w:rPr>
              <w:t xml:space="preserve">65+ </w:t>
            </w:r>
            <w:r>
              <w:rPr>
                <w:color w:val="000000"/>
                <w:sz w:val="21"/>
                <w:lang w:eastAsia="zh-CN"/>
              </w:rPr>
              <w:t>占</w:t>
            </w:r>
            <w:r>
              <w:rPr>
                <w:color w:val="000000"/>
                <w:sz w:val="21"/>
                <w:lang w:eastAsia="zh-CN"/>
              </w:rPr>
              <w:t xml:space="preserve"> 21.92% </w:t>
            </w:r>
            <w:r>
              <w:rPr>
                <w:color w:val="000000"/>
                <w:sz w:val="21"/>
                <w:lang w:eastAsia="zh-CN"/>
              </w:rPr>
              <w:t>的抚养负担转化为可流通资产</w:t>
            </w:r>
          </w:p>
        </w:tc>
        <w:tc>
          <w:tcPr>
            <w:tcW w:w="2891" w:type="dxa"/>
            <w:vAlign w:val="center"/>
          </w:tcPr>
          <w:p w14:paraId="7FA362A2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2A54B9E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71B8CEE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76FA7FFE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民政部；中国老龄协会；新华网；央广网；南京市政府</w:t>
            </w:r>
          </w:p>
        </w:tc>
        <w:tc>
          <w:tcPr>
            <w:tcW w:w="2891" w:type="dxa"/>
            <w:vAlign w:val="center"/>
          </w:tcPr>
          <w:p w14:paraId="030D2518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0F6C7E88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（二）留白日制度：把</w:t>
      </w:r>
      <w:r>
        <w:rPr>
          <w:rFonts w:ascii="Times New Roman" w:eastAsia="黑体" w:hAnsi="Times New Roman"/>
          <w:color w:val="000000"/>
          <w:sz w:val="28"/>
          <w:lang w:eastAsia="zh-CN"/>
        </w:rPr>
        <w:t>“</w:t>
      </w:r>
      <w:r>
        <w:rPr>
          <w:rFonts w:ascii="Times New Roman" w:eastAsia="黑体" w:hAnsi="Times New Roman"/>
          <w:color w:val="000000"/>
          <w:sz w:val="28"/>
          <w:lang w:eastAsia="zh-CN"/>
        </w:rPr>
        <w:t>宁可牺牲一点效率</w:t>
      </w:r>
      <w:r>
        <w:rPr>
          <w:rFonts w:ascii="Times New Roman" w:eastAsia="黑体" w:hAnsi="Times New Roman"/>
          <w:color w:val="000000"/>
          <w:sz w:val="28"/>
          <w:lang w:eastAsia="zh-CN"/>
        </w:rPr>
        <w:t>”</w:t>
      </w:r>
      <w:r>
        <w:rPr>
          <w:rFonts w:ascii="Times New Roman" w:eastAsia="黑体" w:hAnsi="Times New Roman"/>
          <w:color w:val="000000"/>
          <w:sz w:val="28"/>
          <w:lang w:eastAsia="zh-CN"/>
        </w:rPr>
        <w:t>写进日历</w:t>
      </w:r>
    </w:p>
    <w:p w14:paraId="503EE6F2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每周设置一天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留白日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，不安排生产性活动：用于与自然相处、艺术、休整与共同体活动。表面上是七分之一的效率让渡，换来的是人的完整、共同体的凝聚，以及每年固定</w:t>
      </w:r>
      <w:r>
        <w:rPr>
          <w:color w:val="000000"/>
          <w:lang w:eastAsia="zh-CN"/>
        </w:rPr>
        <w:t xml:space="preserve"> 52 </w:t>
      </w:r>
      <w:r>
        <w:rPr>
          <w:color w:val="000000"/>
          <w:lang w:eastAsia="zh-CN"/>
        </w:rPr>
        <w:t>次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与世界安静相处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的集体记忆。这是理念的制度化：效率让位于生长。</w:t>
      </w:r>
    </w:p>
    <w:p w14:paraId="182EACF4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可行性评估：缩短工时而不降产出的制度已有大规模试验先例</w:t>
      </w:r>
      <w:r>
        <w:rPr>
          <w:b/>
          <w:color w:val="000000"/>
          <w:lang w:eastAsia="zh-CN"/>
        </w:rPr>
        <w:t>——</w:t>
      </w:r>
      <w:r>
        <w:rPr>
          <w:b/>
          <w:color w:val="000000"/>
          <w:lang w:eastAsia="zh-CN"/>
        </w:rPr>
        <w:t>冰岛四天工作制试验显示生产力不变或提升；本项目将其升格为共同体制度，风险在社会共识与效率认同。</w:t>
      </w:r>
    </w:p>
    <w:p w14:paraId="51ADDAB7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lastRenderedPageBreak/>
        <w:t>表</w:t>
      </w:r>
      <w:r>
        <w:rPr>
          <w:color w:val="000000"/>
          <w:sz w:val="21"/>
          <w:lang w:eastAsia="zh-CN"/>
        </w:rPr>
        <w:t xml:space="preserve"> 13  </w:t>
      </w:r>
      <w:r>
        <w:rPr>
          <w:color w:val="000000"/>
          <w:sz w:val="21"/>
          <w:lang w:eastAsia="zh-CN"/>
        </w:rPr>
        <w:t>留白日制度可行性评估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4B44E12F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15AC82AA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161D619E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0036A42C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72D9A70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C7FA09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373FB06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缩短工时制度有大规模社会试验先例（四天工作制）</w:t>
            </w:r>
          </w:p>
        </w:tc>
        <w:tc>
          <w:tcPr>
            <w:tcW w:w="2891" w:type="dxa"/>
            <w:vAlign w:val="center"/>
          </w:tcPr>
          <w:p w14:paraId="215EE4BD" w14:textId="77777777" w:rsidR="006C17C4" w:rsidRDefault="006C17C4">
            <w:pPr>
              <w:rPr>
                <w:lang w:eastAsia="zh-CN"/>
              </w:rPr>
            </w:pPr>
            <w:hyperlink r:id="rId52">
              <w:r>
                <w:rPr>
                  <w:color w:val="0000FF" w:themeColor="hyperlink"/>
                  <w:sz w:val="18"/>
                  <w:lang w:eastAsia="zh-CN"/>
                </w:rPr>
                <w:t>中国日报网：冰岛四天工作制试验</w:t>
              </w:r>
            </w:hyperlink>
          </w:p>
          <w:p w14:paraId="5079FC87" w14:textId="77777777" w:rsidR="006C17C4" w:rsidRDefault="006C17C4">
            <w:pPr>
              <w:rPr>
                <w:lang w:eastAsia="zh-CN"/>
              </w:rPr>
            </w:pPr>
            <w:hyperlink r:id="rId53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人民日报：四天工作制试点</w:t>
              </w:r>
            </w:hyperlink>
          </w:p>
        </w:tc>
      </w:tr>
      <w:tr w:rsidR="006C17C4" w14:paraId="5080919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2E9852C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73A6A35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冰岛</w:t>
            </w:r>
            <w:r>
              <w:rPr>
                <w:color w:val="000000"/>
                <w:sz w:val="21"/>
                <w:lang w:eastAsia="zh-CN"/>
              </w:rPr>
              <w:t xml:space="preserve"> 2015—2019 </w:t>
            </w:r>
            <w:r>
              <w:rPr>
                <w:color w:val="000000"/>
                <w:sz w:val="21"/>
                <w:lang w:eastAsia="zh-CN"/>
              </w:rPr>
              <w:t>年四天工作制试验：覆盖约</w:t>
            </w:r>
            <w:r>
              <w:rPr>
                <w:color w:val="000000"/>
                <w:sz w:val="21"/>
                <w:lang w:eastAsia="zh-CN"/>
              </w:rPr>
              <w:t xml:space="preserve"> 100 </w:t>
            </w:r>
            <w:r>
              <w:rPr>
                <w:color w:val="000000"/>
                <w:sz w:val="21"/>
                <w:lang w:eastAsia="zh-CN"/>
              </w:rPr>
              <w:t>个工作场所（含幼儿园、医院、学校），政府与雷克雅未克市议会组织</w:t>
            </w:r>
          </w:p>
        </w:tc>
        <w:tc>
          <w:tcPr>
            <w:tcW w:w="2891" w:type="dxa"/>
            <w:vAlign w:val="center"/>
          </w:tcPr>
          <w:p w14:paraId="5AD5A0A4" w14:textId="77777777" w:rsidR="006C17C4" w:rsidRDefault="006C17C4">
            <w:pPr>
              <w:rPr>
                <w:lang w:eastAsia="zh-CN"/>
              </w:rPr>
            </w:pPr>
            <w:hyperlink r:id="rId54">
              <w:r>
                <w:rPr>
                  <w:color w:val="0000FF" w:themeColor="hyperlink"/>
                  <w:sz w:val="18"/>
                  <w:lang w:eastAsia="zh-CN"/>
                </w:rPr>
                <w:t>中国日报网：冰岛</w:t>
              </w:r>
              <w:r>
                <w:rPr>
                  <w:color w:val="0000FF" w:themeColor="hyperlink"/>
                  <w:sz w:val="18"/>
                  <w:lang w:eastAsia="zh-CN"/>
                </w:rPr>
                <w:t>2015-2019</w:t>
              </w:r>
              <w:r>
                <w:rPr>
                  <w:color w:val="0000FF" w:themeColor="hyperlink"/>
                  <w:sz w:val="18"/>
                  <w:lang w:eastAsia="zh-CN"/>
                </w:rPr>
                <w:t>年试验</w:t>
              </w:r>
            </w:hyperlink>
          </w:p>
        </w:tc>
      </w:tr>
      <w:tr w:rsidR="006C17C4" w14:paraId="5A9881B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F5F0C4C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2C67BEC4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冰岛试验：</w:t>
            </w:r>
            <w:r>
              <w:rPr>
                <w:color w:val="000000"/>
                <w:sz w:val="21"/>
                <w:lang w:eastAsia="zh-CN"/>
              </w:rPr>
              <w:t xml:space="preserve">2 500 </w:t>
            </w:r>
            <w:r>
              <w:rPr>
                <w:color w:val="000000"/>
                <w:sz w:val="21"/>
                <w:lang w:eastAsia="zh-CN"/>
              </w:rPr>
              <w:t>余名参与者（约占冰岛劳动人口</w:t>
            </w:r>
            <w:r>
              <w:rPr>
                <w:color w:val="000000"/>
                <w:sz w:val="21"/>
                <w:lang w:eastAsia="zh-CN"/>
              </w:rPr>
              <w:t xml:space="preserve"> 1%</w:t>
            </w:r>
            <w:r>
              <w:rPr>
                <w:color w:val="000000"/>
                <w:sz w:val="21"/>
                <w:lang w:eastAsia="zh-CN"/>
              </w:rPr>
              <w:t>），每周工时由</w:t>
            </w:r>
            <w:r>
              <w:rPr>
                <w:color w:val="000000"/>
                <w:sz w:val="21"/>
                <w:lang w:eastAsia="zh-CN"/>
              </w:rPr>
              <w:t xml:space="preserve"> 40 </w:t>
            </w:r>
            <w:r>
              <w:rPr>
                <w:color w:val="000000"/>
                <w:sz w:val="21"/>
                <w:lang w:eastAsia="zh-CN"/>
              </w:rPr>
              <w:t>小时降至</w:t>
            </w:r>
            <w:r>
              <w:rPr>
                <w:color w:val="000000"/>
                <w:sz w:val="21"/>
                <w:lang w:eastAsia="zh-CN"/>
              </w:rPr>
              <w:t xml:space="preserve"> 35–36 </w:t>
            </w:r>
            <w:r>
              <w:rPr>
                <w:color w:val="000000"/>
                <w:sz w:val="21"/>
                <w:lang w:eastAsia="zh-CN"/>
              </w:rPr>
              <w:t>小时、薪资不变，多数工作场所生产力不变或提升；试验后约</w:t>
            </w:r>
            <w:r>
              <w:rPr>
                <w:color w:val="000000"/>
                <w:sz w:val="21"/>
                <w:lang w:eastAsia="zh-CN"/>
              </w:rPr>
              <w:t xml:space="preserve"> 86% </w:t>
            </w:r>
            <w:r>
              <w:rPr>
                <w:color w:val="000000"/>
                <w:sz w:val="21"/>
                <w:lang w:eastAsia="zh-CN"/>
              </w:rPr>
              <w:t>的冰岛工人通过谈判签订了缩短工时合同</w:t>
            </w:r>
          </w:p>
        </w:tc>
        <w:tc>
          <w:tcPr>
            <w:tcW w:w="2891" w:type="dxa"/>
            <w:vAlign w:val="center"/>
          </w:tcPr>
          <w:p w14:paraId="230E221F" w14:textId="77777777" w:rsidR="006C17C4" w:rsidRDefault="006C17C4">
            <w:pPr>
              <w:rPr>
                <w:lang w:eastAsia="zh-CN"/>
              </w:rPr>
            </w:pPr>
            <w:hyperlink r:id="rId55">
              <w:r>
                <w:rPr>
                  <w:color w:val="0000FF" w:themeColor="hyperlink"/>
                  <w:sz w:val="18"/>
                  <w:lang w:eastAsia="zh-CN"/>
                </w:rPr>
                <w:t>中国日报网：</w:t>
              </w:r>
              <w:r>
                <w:rPr>
                  <w:color w:val="0000FF" w:themeColor="hyperlink"/>
                  <w:sz w:val="18"/>
                  <w:lang w:eastAsia="zh-CN"/>
                </w:rPr>
                <w:t>2500</w:t>
              </w:r>
              <w:r>
                <w:rPr>
                  <w:color w:val="0000FF" w:themeColor="hyperlink"/>
                  <w:sz w:val="18"/>
                  <w:lang w:eastAsia="zh-CN"/>
                </w:rPr>
                <w:t>人、</w:t>
              </w:r>
              <w:r>
                <w:rPr>
                  <w:color w:val="0000FF" w:themeColor="hyperlink"/>
                  <w:sz w:val="18"/>
                  <w:lang w:eastAsia="zh-CN"/>
                </w:rPr>
                <w:t>35-36h</w:t>
              </w:r>
              <w:r>
                <w:rPr>
                  <w:color w:val="0000FF" w:themeColor="hyperlink"/>
                  <w:sz w:val="18"/>
                  <w:lang w:eastAsia="zh-CN"/>
                </w:rPr>
                <w:t>、</w:t>
              </w:r>
              <w:r>
                <w:rPr>
                  <w:color w:val="0000FF" w:themeColor="hyperlink"/>
                  <w:sz w:val="18"/>
                  <w:lang w:eastAsia="zh-CN"/>
                </w:rPr>
                <w:t>86%</w:t>
              </w:r>
              <w:r>
                <w:rPr>
                  <w:color w:val="0000FF" w:themeColor="hyperlink"/>
                  <w:sz w:val="18"/>
                  <w:lang w:eastAsia="zh-CN"/>
                </w:rPr>
                <w:t>获短工时</w:t>
              </w:r>
            </w:hyperlink>
          </w:p>
          <w:p w14:paraId="703FCC96" w14:textId="77777777" w:rsidR="006C17C4" w:rsidRDefault="006C17C4">
            <w:pPr>
              <w:rPr>
                <w:lang w:eastAsia="zh-CN"/>
              </w:rPr>
            </w:pPr>
            <w:hyperlink r:id="rId56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人民日报：</w:t>
              </w:r>
              <w:r>
                <w:rPr>
                  <w:color w:val="0000FF" w:themeColor="hyperlink"/>
                  <w:sz w:val="18"/>
                  <w:lang w:eastAsia="zh-CN"/>
                </w:rPr>
                <w:t>100</w:t>
              </w:r>
              <w:r>
                <w:rPr>
                  <w:color w:val="0000FF" w:themeColor="hyperlink"/>
                  <w:sz w:val="18"/>
                  <w:lang w:eastAsia="zh-CN"/>
                </w:rPr>
                <w:t>多类工作场所</w:t>
              </w:r>
            </w:hyperlink>
          </w:p>
        </w:tc>
      </w:tr>
      <w:tr w:rsidR="006C17C4" w14:paraId="1E29B4E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7B520A0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6AB1571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七分之一的效率让渡需要社会共识；需以共同体凝聚力与生态观察产出作为回报</w:t>
            </w:r>
          </w:p>
        </w:tc>
        <w:tc>
          <w:tcPr>
            <w:tcW w:w="2891" w:type="dxa"/>
            <w:vAlign w:val="center"/>
          </w:tcPr>
          <w:p w14:paraId="3067EE32" w14:textId="77777777" w:rsidR="006C17C4" w:rsidRDefault="00000000">
            <w:r>
              <w:rPr>
                <w:sz w:val="18"/>
              </w:rPr>
              <w:t>试验结论与制度设计</w:t>
            </w:r>
          </w:p>
        </w:tc>
      </w:tr>
      <w:tr w:rsidR="006C17C4" w14:paraId="3E7E0FE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10DD95C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4B587749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每周</w:t>
            </w:r>
            <w:r>
              <w:rPr>
                <w:color w:val="000000"/>
                <w:sz w:val="21"/>
                <w:lang w:eastAsia="zh-CN"/>
              </w:rPr>
              <w:t xml:space="preserve"> 1 </w:t>
            </w:r>
            <w:r>
              <w:rPr>
                <w:color w:val="000000"/>
                <w:sz w:val="21"/>
                <w:lang w:eastAsia="zh-CN"/>
              </w:rPr>
              <w:t>天留白＝每年</w:t>
            </w:r>
            <w:r>
              <w:rPr>
                <w:color w:val="000000"/>
                <w:sz w:val="21"/>
                <w:lang w:eastAsia="zh-CN"/>
              </w:rPr>
              <w:t xml:space="preserve"> 52 </w:t>
            </w:r>
            <w:r>
              <w:rPr>
                <w:color w:val="000000"/>
                <w:sz w:val="21"/>
                <w:lang w:eastAsia="zh-CN"/>
              </w:rPr>
              <w:t>次共同体时间，与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留白敬未知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理念互文</w:t>
            </w:r>
          </w:p>
        </w:tc>
        <w:tc>
          <w:tcPr>
            <w:tcW w:w="2891" w:type="dxa"/>
            <w:vAlign w:val="center"/>
          </w:tcPr>
          <w:p w14:paraId="1BE515B2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07EE74C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534DA4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57A68299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中国新闻网；光明网；中国日报；北京日报</w:t>
            </w:r>
          </w:p>
        </w:tc>
        <w:tc>
          <w:tcPr>
            <w:tcW w:w="2891" w:type="dxa"/>
            <w:vAlign w:val="center"/>
          </w:tcPr>
          <w:p w14:paraId="29ED1940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6202EFE6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（三）记忆工程与物种日历：让共生成为代际记忆</w:t>
      </w:r>
    </w:p>
    <w:p w14:paraId="25BA4331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设立登板纪念日与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物种日历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，持续记录湾内生物节律的变化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鱼类洄游、候鸟往来、潮汐涨落。当孩子们在物种日历上写下观察，人与自然和谐共生就不再是抽象口号，而是一代代人共同续写的账本。</w:t>
      </w:r>
    </w:p>
    <w:p w14:paraId="75B07335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可行性评估：公民科学记录网络成熟</w:t>
      </w:r>
      <w:r>
        <w:rPr>
          <w:b/>
          <w:color w:val="000000"/>
          <w:lang w:eastAsia="zh-CN"/>
        </w:rPr>
        <w:t>——</w:t>
      </w:r>
      <w:r>
        <w:rPr>
          <w:b/>
          <w:color w:val="000000"/>
          <w:lang w:eastAsia="zh-CN"/>
        </w:rPr>
        <w:t>全球观鸟平台已积累数十亿条记录，我国亦有全国性记录中心与官方面积化监测；风险在观测标准一致性与数据连续性。</w:t>
      </w:r>
    </w:p>
    <w:p w14:paraId="0D40B23E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14  </w:t>
      </w:r>
      <w:r>
        <w:rPr>
          <w:color w:val="000000"/>
          <w:sz w:val="21"/>
          <w:lang w:eastAsia="zh-CN"/>
        </w:rPr>
        <w:t>记忆工程与物种日历可行性评估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175C2598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06029CEA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2D4A6CD0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1B3D3D0F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45C1925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51AF416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3612CEDA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公民科学记录（观鸟、物候）与官方面积化监测均为成熟机制</w:t>
            </w:r>
          </w:p>
        </w:tc>
        <w:tc>
          <w:tcPr>
            <w:tcW w:w="2891" w:type="dxa"/>
            <w:vAlign w:val="center"/>
          </w:tcPr>
          <w:p w14:paraId="0A965964" w14:textId="77777777" w:rsidR="006C17C4" w:rsidRDefault="006C17C4">
            <w:pPr>
              <w:rPr>
                <w:lang w:eastAsia="zh-CN"/>
              </w:rPr>
            </w:pPr>
            <w:hyperlink r:id="rId57">
              <w:r>
                <w:rPr>
                  <w:color w:val="0000FF" w:themeColor="hyperlink"/>
                  <w:sz w:val="18"/>
                  <w:lang w:eastAsia="zh-CN"/>
                </w:rPr>
                <w:t>PMC/PNAS</w:t>
              </w:r>
              <w:r>
                <w:rPr>
                  <w:color w:val="0000FF" w:themeColor="hyperlink"/>
                  <w:sz w:val="18"/>
                  <w:lang w:eastAsia="zh-CN"/>
                </w:rPr>
                <w:t>：</w:t>
              </w:r>
              <w:r>
                <w:rPr>
                  <w:color w:val="0000FF" w:themeColor="hyperlink"/>
                  <w:sz w:val="18"/>
                  <w:lang w:eastAsia="zh-CN"/>
                </w:rPr>
                <w:t xml:space="preserve">eBird </w:t>
              </w:r>
              <w:r>
                <w:rPr>
                  <w:color w:val="0000FF" w:themeColor="hyperlink"/>
                  <w:sz w:val="18"/>
                  <w:lang w:eastAsia="zh-CN"/>
                </w:rPr>
                <w:t>大数据方法论文</w:t>
              </w:r>
            </w:hyperlink>
          </w:p>
          <w:p w14:paraId="44EFFCC9" w14:textId="77777777" w:rsidR="006C17C4" w:rsidRDefault="006C17C4">
            <w:pPr>
              <w:rPr>
                <w:lang w:eastAsia="zh-CN"/>
              </w:rPr>
            </w:pPr>
            <w:hyperlink r:id="rId58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国家林业和草原局：越冬水鸟监测</w:t>
              </w:r>
            </w:hyperlink>
          </w:p>
        </w:tc>
      </w:tr>
      <w:tr w:rsidR="006C17C4" w14:paraId="188EDD8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E182651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6F82BDE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eBird </w:t>
            </w:r>
            <w:r>
              <w:rPr>
                <w:color w:val="000000"/>
                <w:sz w:val="21"/>
                <w:lang w:eastAsia="zh-CN"/>
              </w:rPr>
              <w:t>全球观鸟平台（</w:t>
            </w:r>
            <w:r>
              <w:rPr>
                <w:color w:val="000000"/>
                <w:sz w:val="21"/>
                <w:lang w:eastAsia="zh-CN"/>
              </w:rPr>
              <w:t xml:space="preserve">2002 </w:t>
            </w:r>
            <w:r>
              <w:rPr>
                <w:color w:val="000000"/>
                <w:sz w:val="21"/>
                <w:lang w:eastAsia="zh-CN"/>
              </w:rPr>
              <w:t>年启动）；中国观鸟记录中心（</w:t>
            </w:r>
            <w:r>
              <w:rPr>
                <w:color w:val="000000"/>
                <w:sz w:val="21"/>
                <w:lang w:eastAsia="zh-CN"/>
              </w:rPr>
              <w:t xml:space="preserve">2014 </w:t>
            </w:r>
            <w:r>
              <w:rPr>
                <w:color w:val="000000"/>
                <w:sz w:val="21"/>
                <w:lang w:eastAsia="zh-CN"/>
              </w:rPr>
              <w:t>年启动）；国家林草局越冬水鸟同步监测</w:t>
            </w:r>
          </w:p>
        </w:tc>
        <w:tc>
          <w:tcPr>
            <w:tcW w:w="2891" w:type="dxa"/>
            <w:vAlign w:val="center"/>
          </w:tcPr>
          <w:p w14:paraId="05BD1866" w14:textId="77777777" w:rsidR="006C17C4" w:rsidRDefault="006C17C4">
            <w:pPr>
              <w:rPr>
                <w:lang w:eastAsia="zh-CN"/>
              </w:rPr>
            </w:pPr>
            <w:hyperlink r:id="rId59">
              <w:r>
                <w:rPr>
                  <w:color w:val="0000FF" w:themeColor="hyperlink"/>
                  <w:sz w:val="18"/>
                  <w:lang w:eastAsia="zh-CN"/>
                </w:rPr>
                <w:t xml:space="preserve">eBird </w:t>
              </w:r>
              <w:r>
                <w:rPr>
                  <w:color w:val="0000FF" w:themeColor="hyperlink"/>
                  <w:sz w:val="18"/>
                  <w:lang w:eastAsia="zh-CN"/>
                </w:rPr>
                <w:t>官方网站</w:t>
              </w:r>
            </w:hyperlink>
          </w:p>
          <w:p w14:paraId="425DB8BA" w14:textId="77777777" w:rsidR="006C17C4" w:rsidRDefault="006C17C4">
            <w:pPr>
              <w:rPr>
                <w:lang w:eastAsia="zh-CN"/>
              </w:rPr>
            </w:pPr>
            <w:hyperlink r:id="rId60">
              <w:r>
                <w:rPr>
                  <w:color w:val="0000FF" w:themeColor="hyperlink"/>
                  <w:sz w:val="18"/>
                  <w:lang w:eastAsia="zh-CN"/>
                </w:rPr>
                <w:t>· eBird 20</w:t>
              </w:r>
              <w:r>
                <w:rPr>
                  <w:color w:val="0000FF" w:themeColor="hyperlink"/>
                  <w:sz w:val="18"/>
                  <w:lang w:eastAsia="zh-CN"/>
                </w:rPr>
                <w:t>周年纪念</w:t>
              </w:r>
            </w:hyperlink>
          </w:p>
          <w:p w14:paraId="20848FD7" w14:textId="77777777" w:rsidR="006C17C4" w:rsidRDefault="006C17C4">
            <w:pPr>
              <w:rPr>
                <w:lang w:eastAsia="zh-CN"/>
              </w:rPr>
            </w:pPr>
            <w:hyperlink r:id="rId61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中国观鸟记录中心</w:t>
              </w:r>
            </w:hyperlink>
          </w:p>
        </w:tc>
      </w:tr>
      <w:tr w:rsidR="006C17C4" w14:paraId="4AE652A2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BD58D9D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0AA68665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eBird </w:t>
            </w:r>
            <w:r>
              <w:rPr>
                <w:color w:val="000000"/>
                <w:sz w:val="21"/>
                <w:lang w:eastAsia="zh-CN"/>
              </w:rPr>
              <w:t>累计记录超</w:t>
            </w:r>
            <w:r>
              <w:rPr>
                <w:color w:val="000000"/>
                <w:sz w:val="21"/>
                <w:lang w:eastAsia="zh-CN"/>
              </w:rPr>
              <w:t xml:space="preserve"> 20 </w:t>
            </w:r>
            <w:r>
              <w:rPr>
                <w:color w:val="000000"/>
                <w:sz w:val="21"/>
                <w:lang w:eastAsia="zh-CN"/>
              </w:rPr>
              <w:t>亿条、约</w:t>
            </w:r>
            <w:r>
              <w:rPr>
                <w:color w:val="000000"/>
                <w:sz w:val="21"/>
                <w:lang w:eastAsia="zh-CN"/>
              </w:rPr>
              <w:t xml:space="preserve"> 110 </w:t>
            </w:r>
            <w:r>
              <w:rPr>
                <w:color w:val="000000"/>
                <w:sz w:val="21"/>
                <w:lang w:eastAsia="zh-CN"/>
              </w:rPr>
              <w:t>万人参与（</w:t>
            </w:r>
            <w:r>
              <w:rPr>
                <w:color w:val="000000"/>
                <w:sz w:val="21"/>
                <w:lang w:eastAsia="zh-CN"/>
              </w:rPr>
              <w:t>2025</w:t>
            </w:r>
            <w:r>
              <w:rPr>
                <w:color w:val="000000"/>
                <w:sz w:val="21"/>
                <w:lang w:eastAsia="zh-CN"/>
              </w:rPr>
              <w:t>）；中国观鸟记录中心累计约</w:t>
            </w:r>
            <w:r>
              <w:rPr>
                <w:color w:val="000000"/>
                <w:sz w:val="21"/>
                <w:lang w:eastAsia="zh-CN"/>
              </w:rPr>
              <w:t xml:space="preserve"> 1 196 </w:t>
            </w:r>
            <w:r>
              <w:rPr>
                <w:color w:val="000000"/>
                <w:sz w:val="21"/>
                <w:lang w:eastAsia="zh-CN"/>
              </w:rPr>
              <w:t>万条鸟种记录；国家林草局</w:t>
            </w:r>
            <w:r>
              <w:rPr>
                <w:color w:val="000000"/>
                <w:sz w:val="21"/>
                <w:lang w:eastAsia="zh-CN"/>
              </w:rPr>
              <w:t xml:space="preserve"> 2026 </w:t>
            </w:r>
            <w:r>
              <w:rPr>
                <w:color w:val="000000"/>
                <w:sz w:val="21"/>
                <w:lang w:eastAsia="zh-CN"/>
              </w:rPr>
              <w:t>年越冬水鸟同步监测：</w:t>
            </w:r>
            <w:r>
              <w:rPr>
                <w:color w:val="000000"/>
                <w:sz w:val="21"/>
                <w:lang w:eastAsia="zh-CN"/>
              </w:rPr>
              <w:t xml:space="preserve">167 </w:t>
            </w:r>
            <w:r>
              <w:rPr>
                <w:color w:val="000000"/>
                <w:sz w:val="21"/>
                <w:lang w:eastAsia="zh-CN"/>
              </w:rPr>
              <w:t>种、</w:t>
            </w:r>
            <w:r>
              <w:rPr>
                <w:color w:val="000000"/>
                <w:sz w:val="21"/>
                <w:lang w:eastAsia="zh-CN"/>
              </w:rPr>
              <w:t xml:space="preserve">632.4 </w:t>
            </w:r>
            <w:r>
              <w:rPr>
                <w:color w:val="000000"/>
                <w:sz w:val="21"/>
                <w:lang w:eastAsia="zh-CN"/>
              </w:rPr>
              <w:t>万只（较</w:t>
            </w:r>
            <w:r>
              <w:rPr>
                <w:color w:val="000000"/>
                <w:sz w:val="21"/>
                <w:lang w:eastAsia="zh-CN"/>
              </w:rPr>
              <w:t xml:space="preserve"> 2016 </w:t>
            </w:r>
            <w:r>
              <w:rPr>
                <w:color w:val="000000"/>
                <w:sz w:val="21"/>
                <w:lang w:eastAsia="zh-CN"/>
              </w:rPr>
              <w:t>年</w:t>
            </w:r>
            <w:r>
              <w:rPr>
                <w:color w:val="000000"/>
                <w:sz w:val="21"/>
                <w:lang w:eastAsia="zh-CN"/>
              </w:rPr>
              <w:t xml:space="preserve"> 244.3 </w:t>
            </w:r>
            <w:r>
              <w:rPr>
                <w:color w:val="000000"/>
                <w:sz w:val="21"/>
                <w:lang w:eastAsia="zh-CN"/>
              </w:rPr>
              <w:t>万只增长</w:t>
            </w:r>
            <w:r>
              <w:rPr>
                <w:color w:val="000000"/>
                <w:sz w:val="21"/>
                <w:lang w:eastAsia="zh-CN"/>
              </w:rPr>
              <w:t xml:space="preserve"> 158.9%</w:t>
            </w:r>
            <w:r>
              <w:rPr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2891" w:type="dxa"/>
            <w:vAlign w:val="center"/>
          </w:tcPr>
          <w:p w14:paraId="317E99AC" w14:textId="77777777" w:rsidR="006C17C4" w:rsidRDefault="006C17C4">
            <w:pPr>
              <w:rPr>
                <w:lang w:eastAsia="zh-CN"/>
              </w:rPr>
            </w:pPr>
            <w:hyperlink r:id="rId62">
              <w:r>
                <w:rPr>
                  <w:color w:val="0000FF" w:themeColor="hyperlink"/>
                  <w:sz w:val="18"/>
                  <w:lang w:eastAsia="zh-CN"/>
                </w:rPr>
                <w:t xml:space="preserve">eBird </w:t>
              </w:r>
              <w:r>
                <w:rPr>
                  <w:color w:val="0000FF" w:themeColor="hyperlink"/>
                  <w:sz w:val="18"/>
                  <w:lang w:eastAsia="zh-CN"/>
                </w:rPr>
                <w:t>官方：</w:t>
              </w:r>
              <w:r>
                <w:rPr>
                  <w:color w:val="0000FF" w:themeColor="hyperlink"/>
                  <w:sz w:val="18"/>
                  <w:lang w:eastAsia="zh-CN"/>
                </w:rPr>
                <w:t>20</w:t>
              </w:r>
              <w:r>
                <w:rPr>
                  <w:color w:val="0000FF" w:themeColor="hyperlink"/>
                  <w:sz w:val="18"/>
                  <w:lang w:eastAsia="zh-CN"/>
                </w:rPr>
                <w:t>亿条记录</w:t>
              </w:r>
            </w:hyperlink>
          </w:p>
          <w:p w14:paraId="60DA322D" w14:textId="77777777" w:rsidR="006C17C4" w:rsidRDefault="006C17C4">
            <w:pPr>
              <w:rPr>
                <w:lang w:eastAsia="zh-CN"/>
              </w:rPr>
            </w:pPr>
            <w:hyperlink r:id="rId63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中国观鸟记录中心：</w:t>
              </w:r>
              <w:r>
                <w:rPr>
                  <w:color w:val="0000FF" w:themeColor="hyperlink"/>
                  <w:sz w:val="18"/>
                  <w:lang w:eastAsia="zh-CN"/>
                </w:rPr>
                <w:t>1196</w:t>
              </w:r>
              <w:r>
                <w:rPr>
                  <w:color w:val="0000FF" w:themeColor="hyperlink"/>
                  <w:sz w:val="18"/>
                  <w:lang w:eastAsia="zh-CN"/>
                </w:rPr>
                <w:t>万条记录</w:t>
              </w:r>
            </w:hyperlink>
          </w:p>
          <w:p w14:paraId="2DC3C842" w14:textId="77777777" w:rsidR="006C17C4" w:rsidRDefault="006C17C4">
            <w:pPr>
              <w:rPr>
                <w:lang w:eastAsia="zh-CN"/>
              </w:rPr>
            </w:pPr>
            <w:hyperlink r:id="rId64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国家林草局：</w:t>
              </w:r>
              <w:r>
                <w:rPr>
                  <w:color w:val="0000FF" w:themeColor="hyperlink"/>
                  <w:sz w:val="18"/>
                  <w:lang w:eastAsia="zh-CN"/>
                </w:rPr>
                <w:t>2026</w:t>
              </w:r>
              <w:r>
                <w:rPr>
                  <w:color w:val="0000FF" w:themeColor="hyperlink"/>
                  <w:sz w:val="18"/>
                  <w:lang w:eastAsia="zh-CN"/>
                </w:rPr>
                <w:t>年越冬水鸟</w:t>
              </w:r>
              <w:r>
                <w:rPr>
                  <w:color w:val="0000FF" w:themeColor="hyperlink"/>
                  <w:sz w:val="18"/>
                  <w:lang w:eastAsia="zh-CN"/>
                </w:rPr>
                <w:t>167</w:t>
              </w:r>
              <w:r>
                <w:rPr>
                  <w:color w:val="0000FF" w:themeColor="hyperlink"/>
                  <w:sz w:val="18"/>
                  <w:lang w:eastAsia="zh-CN"/>
                </w:rPr>
                <w:t>种、</w:t>
              </w:r>
              <w:r>
                <w:rPr>
                  <w:color w:val="0000FF" w:themeColor="hyperlink"/>
                  <w:sz w:val="18"/>
                  <w:lang w:eastAsia="zh-CN"/>
                </w:rPr>
                <w:t>632.4</w:t>
              </w:r>
              <w:r>
                <w:rPr>
                  <w:color w:val="0000FF" w:themeColor="hyperlink"/>
                  <w:sz w:val="18"/>
                  <w:lang w:eastAsia="zh-CN"/>
                </w:rPr>
                <w:t>万只</w:t>
              </w:r>
            </w:hyperlink>
          </w:p>
        </w:tc>
      </w:tr>
      <w:tr w:rsidR="006C17C4" w14:paraId="132D325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0FCF5B6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036AE6F7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观测标准一致性、数据连续性；需设定统一记录格式与年度核验</w:t>
            </w:r>
          </w:p>
        </w:tc>
        <w:tc>
          <w:tcPr>
            <w:tcW w:w="2891" w:type="dxa"/>
            <w:vAlign w:val="center"/>
          </w:tcPr>
          <w:p w14:paraId="372B4CC7" w14:textId="77777777" w:rsidR="006C17C4" w:rsidRDefault="00000000">
            <w:r>
              <w:rPr>
                <w:sz w:val="18"/>
              </w:rPr>
              <w:t>公民科学运行经验</w:t>
            </w:r>
          </w:p>
        </w:tc>
      </w:tr>
      <w:tr w:rsidR="006C17C4" w14:paraId="18AB475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7F1D9A0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24369FA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 xml:space="preserve">2 500 </w:t>
            </w:r>
            <w:r>
              <w:rPr>
                <w:color w:val="000000"/>
                <w:sz w:val="21"/>
                <w:lang w:eastAsia="zh-CN"/>
              </w:rPr>
              <w:t>人共同体以物种日历续写湾内生态账本，共生成为代际记忆</w:t>
            </w:r>
          </w:p>
        </w:tc>
        <w:tc>
          <w:tcPr>
            <w:tcW w:w="2891" w:type="dxa"/>
            <w:vAlign w:val="center"/>
          </w:tcPr>
          <w:p w14:paraId="5E986D70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1CBB051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DDDA747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lastRenderedPageBreak/>
              <w:t>数据来源</w:t>
            </w:r>
          </w:p>
        </w:tc>
        <w:tc>
          <w:tcPr>
            <w:tcW w:w="4309" w:type="dxa"/>
            <w:vAlign w:val="center"/>
          </w:tcPr>
          <w:p w14:paraId="3B674F98" w14:textId="77777777" w:rsidR="006C17C4" w:rsidRDefault="00000000">
            <w:r>
              <w:rPr>
                <w:color w:val="000000"/>
                <w:sz w:val="21"/>
              </w:rPr>
              <w:t>PNAS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eBird </w:t>
            </w:r>
            <w:r>
              <w:rPr>
                <w:color w:val="000000"/>
                <w:sz w:val="21"/>
              </w:rPr>
              <w:t>官网；国家林业和草原局；科学网</w:t>
            </w:r>
          </w:p>
        </w:tc>
        <w:tc>
          <w:tcPr>
            <w:tcW w:w="2891" w:type="dxa"/>
            <w:vAlign w:val="center"/>
          </w:tcPr>
          <w:p w14:paraId="05655D5A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4DBEEA18" w14:textId="77777777" w:rsidR="006C17C4" w:rsidRDefault="00000000">
      <w:pPr>
        <w:pStyle w:val="21"/>
        <w:spacing w:before="22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（四）教育即传承：每名学生都有一门冗余技能</w:t>
      </w:r>
    </w:p>
    <w:p w14:paraId="3027710A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学龄</w:t>
      </w:r>
      <w:r>
        <w:rPr>
          <w:color w:val="000000"/>
          <w:lang w:eastAsia="zh-CN"/>
        </w:rPr>
        <w:t xml:space="preserve"> 368 </w:t>
      </w:r>
      <w:r>
        <w:rPr>
          <w:color w:val="000000"/>
          <w:lang w:eastAsia="zh-CN"/>
        </w:rPr>
        <w:t>人的教育以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让世界运转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为纲：每个孩子必修能量、水、食物、材料四门基础课中的至少两门，并精通一项关键技能的冗余操作。教育的目标不是选拔最优，而是保证世界在失去任何一个人时，都不至于失去一项能力。</w:t>
      </w:r>
    </w:p>
    <w:p w14:paraId="742849B2" w14:textId="77777777" w:rsidR="006C17C4" w:rsidRDefault="00000000">
      <w:pPr>
        <w:spacing w:after="0" w:line="360" w:lineRule="auto"/>
        <w:ind w:firstLineChars="200" w:firstLine="489"/>
        <w:rPr>
          <w:lang w:eastAsia="zh-CN"/>
        </w:rPr>
      </w:pPr>
      <w:r>
        <w:rPr>
          <w:b/>
          <w:color w:val="000000"/>
          <w:lang w:eastAsia="zh-CN"/>
        </w:rPr>
        <w:t>可行性评估：跨学科主题学习是国际课程改革主流方向（芬兰现象式教学、我国</w:t>
      </w:r>
      <w:r>
        <w:rPr>
          <w:b/>
          <w:color w:val="000000"/>
          <w:lang w:eastAsia="zh-CN"/>
        </w:rPr>
        <w:t xml:space="preserve"> 2022 </w:t>
      </w:r>
      <w:r>
        <w:rPr>
          <w:b/>
          <w:color w:val="000000"/>
          <w:lang w:eastAsia="zh-CN"/>
        </w:rPr>
        <w:t>版义教课程方案），本项目将其锚定为</w:t>
      </w:r>
      <w:r>
        <w:rPr>
          <w:b/>
          <w:color w:val="000000"/>
          <w:lang w:eastAsia="zh-CN"/>
        </w:rPr>
        <w:t>“</w:t>
      </w:r>
      <w:r>
        <w:rPr>
          <w:b/>
          <w:color w:val="000000"/>
          <w:lang w:eastAsia="zh-CN"/>
        </w:rPr>
        <w:t>冗余技能</w:t>
      </w:r>
      <w:r>
        <w:rPr>
          <w:b/>
          <w:color w:val="000000"/>
          <w:lang w:eastAsia="zh-CN"/>
        </w:rPr>
        <w:t>”</w:t>
      </w:r>
      <w:r>
        <w:rPr>
          <w:b/>
          <w:color w:val="000000"/>
          <w:lang w:eastAsia="zh-CN"/>
        </w:rPr>
        <w:t>体系；风险在师资与课程自主建设。</w:t>
      </w:r>
    </w:p>
    <w:p w14:paraId="48A0334A" w14:textId="77777777" w:rsidR="006C17C4" w:rsidRDefault="00000000">
      <w:pPr>
        <w:spacing w:before="80" w:after="120"/>
        <w:jc w:val="center"/>
        <w:rPr>
          <w:lang w:eastAsia="zh-CN"/>
        </w:rPr>
      </w:pPr>
      <w:r>
        <w:rPr>
          <w:color w:val="000000"/>
          <w:sz w:val="21"/>
          <w:lang w:eastAsia="zh-CN"/>
        </w:rPr>
        <w:t>表</w:t>
      </w:r>
      <w:r>
        <w:rPr>
          <w:color w:val="000000"/>
          <w:sz w:val="21"/>
          <w:lang w:eastAsia="zh-CN"/>
        </w:rPr>
        <w:t xml:space="preserve"> 15  </w:t>
      </w:r>
      <w:r>
        <w:rPr>
          <w:color w:val="000000"/>
          <w:sz w:val="21"/>
          <w:lang w:eastAsia="zh-CN"/>
        </w:rPr>
        <w:t>教育即传承可行性评估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309"/>
        <w:gridCol w:w="2891"/>
      </w:tblGrid>
      <w:tr w:rsidR="006C17C4" w14:paraId="5E75F35B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44DC8103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评估维度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5A4E35D7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评估结论与关键数据</w:t>
            </w:r>
          </w:p>
        </w:tc>
        <w:tc>
          <w:tcPr>
            <w:tcW w:w="2891" w:type="dxa"/>
            <w:shd w:val="clear" w:color="auto" w:fill="D9D9D9"/>
            <w:vAlign w:val="center"/>
          </w:tcPr>
          <w:p w14:paraId="05746C93" w14:textId="77777777" w:rsidR="006C17C4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现实依据</w:t>
            </w:r>
            <w:r>
              <w:rPr>
                <w:b/>
                <w:color w:val="000000"/>
                <w:sz w:val="21"/>
              </w:rPr>
              <w:t xml:space="preserve"> / </w:t>
            </w:r>
            <w:r>
              <w:rPr>
                <w:b/>
                <w:color w:val="000000"/>
                <w:sz w:val="21"/>
              </w:rPr>
              <w:t>来源</w:t>
            </w:r>
          </w:p>
        </w:tc>
      </w:tr>
      <w:tr w:rsidR="006C17C4" w14:paraId="71962A5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E05CD7C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技术成熟度</w:t>
            </w:r>
          </w:p>
        </w:tc>
        <w:tc>
          <w:tcPr>
            <w:tcW w:w="4309" w:type="dxa"/>
            <w:vAlign w:val="center"/>
          </w:tcPr>
          <w:p w14:paraId="6FA90FAC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跨学科主题学习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通识教育为国际课改主流方向，机制成熟</w:t>
            </w:r>
          </w:p>
        </w:tc>
        <w:tc>
          <w:tcPr>
            <w:tcW w:w="2891" w:type="dxa"/>
            <w:vAlign w:val="center"/>
          </w:tcPr>
          <w:p w14:paraId="43CB1C9D" w14:textId="77777777" w:rsidR="006C17C4" w:rsidRDefault="006C17C4">
            <w:pPr>
              <w:rPr>
                <w:lang w:eastAsia="zh-CN"/>
              </w:rPr>
            </w:pPr>
            <w:hyperlink r:id="rId65">
              <w:r>
                <w:rPr>
                  <w:color w:val="0000FF" w:themeColor="hyperlink"/>
                  <w:sz w:val="18"/>
                  <w:lang w:eastAsia="zh-CN"/>
                </w:rPr>
                <w:t>教育部：义务教育课程方案（</w:t>
              </w:r>
              <w:r>
                <w:rPr>
                  <w:color w:val="0000FF" w:themeColor="hyperlink"/>
                  <w:sz w:val="18"/>
                  <w:lang w:eastAsia="zh-CN"/>
                </w:rPr>
                <w:t>2022</w:t>
              </w:r>
              <w:r>
                <w:rPr>
                  <w:color w:val="0000FF" w:themeColor="hyperlink"/>
                  <w:sz w:val="18"/>
                  <w:lang w:eastAsia="zh-CN"/>
                </w:rPr>
                <w:t>年版）</w:t>
              </w:r>
            </w:hyperlink>
          </w:p>
          <w:p w14:paraId="621598DC" w14:textId="77777777" w:rsidR="006C17C4" w:rsidRDefault="006C17C4">
            <w:pPr>
              <w:rPr>
                <w:lang w:eastAsia="zh-CN"/>
              </w:rPr>
            </w:pPr>
            <w:hyperlink r:id="rId66">
              <w:r>
                <w:rPr>
                  <w:color w:val="0000FF" w:themeColor="hyperlink"/>
                  <w:sz w:val="18"/>
                  <w:lang w:eastAsia="zh-CN"/>
                </w:rPr>
                <w:t xml:space="preserve">· </w:t>
              </w:r>
              <w:r>
                <w:rPr>
                  <w:color w:val="0000FF" w:themeColor="hyperlink"/>
                  <w:sz w:val="18"/>
                  <w:lang w:eastAsia="zh-CN"/>
                </w:rPr>
                <w:t>芬兰国家教育机构：现象式教学课纲</w:t>
              </w:r>
            </w:hyperlink>
          </w:p>
        </w:tc>
      </w:tr>
      <w:tr w:rsidR="006C17C4" w14:paraId="6308330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8E3B742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现实先例</w:t>
            </w:r>
          </w:p>
        </w:tc>
        <w:tc>
          <w:tcPr>
            <w:tcW w:w="4309" w:type="dxa"/>
            <w:vAlign w:val="center"/>
          </w:tcPr>
          <w:p w14:paraId="42FA1C7E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芬兰</w:t>
            </w:r>
            <w:r>
              <w:rPr>
                <w:color w:val="000000"/>
                <w:sz w:val="21"/>
                <w:lang w:eastAsia="zh-CN"/>
              </w:rPr>
              <w:t xml:space="preserve"> 2016 </w:t>
            </w:r>
            <w:r>
              <w:rPr>
                <w:color w:val="000000"/>
                <w:sz w:val="21"/>
                <w:lang w:eastAsia="zh-CN"/>
              </w:rPr>
              <w:t>年新课程纲推行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现象式教学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（跨学科主题学习）；我国</w:t>
            </w:r>
            <w:r>
              <w:rPr>
                <w:color w:val="000000"/>
                <w:sz w:val="21"/>
                <w:lang w:eastAsia="zh-CN"/>
              </w:rPr>
              <w:t xml:space="preserve"> 2022 </w:t>
            </w:r>
            <w:r>
              <w:rPr>
                <w:color w:val="000000"/>
                <w:sz w:val="21"/>
                <w:lang w:eastAsia="zh-CN"/>
              </w:rPr>
              <w:t>版义务教育课程方案明确跨学科主题学习课时要求</w:t>
            </w:r>
          </w:p>
        </w:tc>
        <w:tc>
          <w:tcPr>
            <w:tcW w:w="2891" w:type="dxa"/>
            <w:vAlign w:val="center"/>
          </w:tcPr>
          <w:p w14:paraId="1023EC7C" w14:textId="77777777" w:rsidR="006C17C4" w:rsidRDefault="006C17C4">
            <w:pPr>
              <w:rPr>
                <w:lang w:eastAsia="zh-CN"/>
              </w:rPr>
            </w:pPr>
            <w:hyperlink r:id="rId67">
              <w:r>
                <w:rPr>
                  <w:color w:val="0000FF" w:themeColor="hyperlink"/>
                  <w:sz w:val="18"/>
                  <w:lang w:eastAsia="zh-CN"/>
                </w:rPr>
                <w:t>教育部：跨学科主题学习</w:t>
              </w:r>
            </w:hyperlink>
          </w:p>
          <w:p w14:paraId="4D341B4D" w14:textId="77777777" w:rsidR="006C17C4" w:rsidRDefault="006C17C4">
            <w:hyperlink r:id="rId68">
              <w:r>
                <w:rPr>
                  <w:color w:val="0000FF" w:themeColor="hyperlink"/>
                  <w:sz w:val="18"/>
                </w:rPr>
                <w:t xml:space="preserve">· </w:t>
              </w:r>
              <w:r>
                <w:rPr>
                  <w:color w:val="0000FF" w:themeColor="hyperlink"/>
                  <w:sz w:val="18"/>
                </w:rPr>
                <w:t>芬兰国家教育机构</w:t>
              </w:r>
            </w:hyperlink>
          </w:p>
        </w:tc>
      </w:tr>
      <w:tr w:rsidR="006C17C4" w14:paraId="1C5A009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C9AC6D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关键数据</w:t>
            </w:r>
          </w:p>
        </w:tc>
        <w:tc>
          <w:tcPr>
            <w:tcW w:w="4309" w:type="dxa"/>
            <w:vAlign w:val="center"/>
          </w:tcPr>
          <w:p w14:paraId="68CB3FDB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本项目：学龄人口约</w:t>
            </w:r>
            <w:r>
              <w:rPr>
                <w:color w:val="000000"/>
                <w:sz w:val="21"/>
                <w:lang w:eastAsia="zh-CN"/>
              </w:rPr>
              <w:t xml:space="preserve"> 368 </w:t>
            </w:r>
            <w:r>
              <w:rPr>
                <w:color w:val="000000"/>
                <w:sz w:val="21"/>
                <w:lang w:eastAsia="zh-CN"/>
              </w:rPr>
              <w:t>人；关键岗位约</w:t>
            </w:r>
            <w:r>
              <w:rPr>
                <w:color w:val="000000"/>
                <w:sz w:val="21"/>
                <w:lang w:eastAsia="zh-CN"/>
              </w:rPr>
              <w:t xml:space="preserve"> 560–760 </w:t>
            </w:r>
            <w:r>
              <w:rPr>
                <w:color w:val="000000"/>
                <w:sz w:val="21"/>
                <w:lang w:eastAsia="zh-CN"/>
              </w:rPr>
              <w:t>人、关键岗位三人互为冗余</w:t>
            </w:r>
            <w:r>
              <w:rPr>
                <w:color w:val="000000"/>
                <w:sz w:val="21"/>
                <w:lang w:eastAsia="zh-CN"/>
              </w:rPr>
              <w:t>——</w:t>
            </w:r>
            <w:r>
              <w:rPr>
                <w:color w:val="000000"/>
                <w:sz w:val="21"/>
                <w:lang w:eastAsia="zh-CN"/>
              </w:rPr>
              <w:t>教育体系与之衔接</w:t>
            </w:r>
          </w:p>
        </w:tc>
        <w:tc>
          <w:tcPr>
            <w:tcW w:w="2891" w:type="dxa"/>
            <w:vAlign w:val="center"/>
          </w:tcPr>
          <w:p w14:paraId="585DAA45" w14:textId="77777777" w:rsidR="003B2AD2" w:rsidRDefault="003B2AD2">
            <w:pPr>
              <w:rPr>
                <w:rFonts w:asciiTheme="minorHAnsi" w:eastAsiaTheme="minorEastAsia" w:hAnsiTheme="minorHAnsi"/>
                <w:sz w:val="22"/>
                <w:lang w:eastAsia="zh-CN"/>
              </w:rPr>
            </w:pPr>
          </w:p>
        </w:tc>
      </w:tr>
      <w:tr w:rsidR="006C17C4" w14:paraId="4478EAA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3D6884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风险与边界</w:t>
            </w:r>
          </w:p>
        </w:tc>
        <w:tc>
          <w:tcPr>
            <w:tcW w:w="4309" w:type="dxa"/>
            <w:vAlign w:val="center"/>
          </w:tcPr>
          <w:p w14:paraId="18373F06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师资与课程体系需在世界内自主建设；需以</w:t>
            </w:r>
            <w:r>
              <w:rPr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  <w:lang w:eastAsia="zh-CN"/>
              </w:rPr>
              <w:t>冗余技能清单</w:t>
            </w:r>
            <w:r>
              <w:rPr>
                <w:color w:val="000000"/>
                <w:sz w:val="21"/>
                <w:lang w:eastAsia="zh-CN"/>
              </w:rPr>
              <w:t>”</w:t>
            </w:r>
            <w:r>
              <w:rPr>
                <w:color w:val="000000"/>
                <w:sz w:val="21"/>
                <w:lang w:eastAsia="zh-CN"/>
              </w:rPr>
              <w:t>逐年考核</w:t>
            </w:r>
          </w:p>
        </w:tc>
        <w:tc>
          <w:tcPr>
            <w:tcW w:w="2891" w:type="dxa"/>
            <w:vAlign w:val="center"/>
          </w:tcPr>
          <w:p w14:paraId="1A798F3E" w14:textId="77777777" w:rsidR="006C17C4" w:rsidRDefault="00000000">
            <w:r>
              <w:rPr>
                <w:sz w:val="18"/>
              </w:rPr>
              <w:t>课程建设实践</w:t>
            </w:r>
          </w:p>
        </w:tc>
      </w:tr>
      <w:tr w:rsidR="006C17C4" w14:paraId="1CA08D5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DCE09A9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百万立方适配</w:t>
            </w:r>
          </w:p>
        </w:tc>
        <w:tc>
          <w:tcPr>
            <w:tcW w:w="4309" w:type="dxa"/>
            <w:vAlign w:val="center"/>
          </w:tcPr>
          <w:p w14:paraId="14559D2C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每人一门冗余技能，保证社会失去任何一人时不失去一项能力</w:t>
            </w:r>
          </w:p>
        </w:tc>
        <w:tc>
          <w:tcPr>
            <w:tcW w:w="2891" w:type="dxa"/>
            <w:vAlign w:val="center"/>
          </w:tcPr>
          <w:p w14:paraId="337B4F5E" w14:textId="77777777" w:rsidR="006C17C4" w:rsidRDefault="00000000">
            <w:r>
              <w:rPr>
                <w:sz w:val="21"/>
              </w:rPr>
              <w:t>本项目设计</w:t>
            </w:r>
          </w:p>
        </w:tc>
      </w:tr>
      <w:tr w:rsidR="006C17C4" w14:paraId="3B9A08A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65ADAF5" w14:textId="77777777" w:rsidR="006C17C4" w:rsidRDefault="00000000">
            <w:pPr>
              <w:jc w:val="center"/>
            </w:pPr>
            <w:r>
              <w:rPr>
                <w:color w:val="000000"/>
                <w:sz w:val="21"/>
              </w:rPr>
              <w:t>数据来源</w:t>
            </w:r>
          </w:p>
        </w:tc>
        <w:tc>
          <w:tcPr>
            <w:tcW w:w="4309" w:type="dxa"/>
            <w:vAlign w:val="center"/>
          </w:tcPr>
          <w:p w14:paraId="768EC41D" w14:textId="77777777" w:rsidR="006C17C4" w:rsidRDefault="00000000">
            <w:pPr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芬兰国家教育机构；教育部《义务教育课程方案（</w:t>
            </w:r>
            <w:r>
              <w:rPr>
                <w:color w:val="000000"/>
                <w:sz w:val="21"/>
                <w:lang w:eastAsia="zh-CN"/>
              </w:rPr>
              <w:t xml:space="preserve">2022 </w:t>
            </w:r>
            <w:r>
              <w:rPr>
                <w:color w:val="000000"/>
                <w:sz w:val="21"/>
                <w:lang w:eastAsia="zh-CN"/>
              </w:rPr>
              <w:t>年版）》；本项目计算</w:t>
            </w:r>
          </w:p>
        </w:tc>
        <w:tc>
          <w:tcPr>
            <w:tcW w:w="2891" w:type="dxa"/>
            <w:vAlign w:val="center"/>
          </w:tcPr>
          <w:p w14:paraId="5E0687F1" w14:textId="77777777" w:rsidR="006C17C4" w:rsidRDefault="00000000">
            <w:pPr>
              <w:rPr>
                <w:lang w:eastAsia="zh-CN"/>
              </w:rPr>
            </w:pPr>
            <w:r>
              <w:rPr>
                <w:color w:val="666666"/>
                <w:sz w:val="18"/>
                <w:lang w:eastAsia="zh-CN"/>
              </w:rPr>
              <w:t>以上各项来源见左侧各单元格所列来源；未标注外链者为项目内部计算或行业通用实践</w:t>
            </w:r>
          </w:p>
        </w:tc>
      </w:tr>
    </w:tbl>
    <w:p w14:paraId="1F4BFD24" w14:textId="77777777" w:rsidR="006C17C4" w:rsidRDefault="00000000">
      <w:pPr>
        <w:pStyle w:val="1"/>
        <w:spacing w:before="280" w:after="12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六、小结：余量，是新世界的形状</w:t>
      </w:r>
    </w:p>
    <w:p w14:paraId="413B0035" w14:textId="77777777" w:rsidR="006C17C4" w:rsidRDefault="00000000">
      <w:pPr>
        <w:spacing w:after="0" w:line="360" w:lineRule="auto"/>
        <w:ind w:firstLineChars="200" w:firstLine="480"/>
        <w:rPr>
          <w:lang w:eastAsia="zh-CN"/>
        </w:rPr>
      </w:pPr>
      <w:r>
        <w:rPr>
          <w:color w:val="000000"/>
          <w:lang w:eastAsia="zh-CN"/>
        </w:rPr>
        <w:t>地核冷却的世界把不确定性推到了人类从未面对过的高度，因此百万立方的全部创新只有一条逻辑：先回答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留多少余量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，再回答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长什么形状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。能源留调度余量，环境留生态余量，科技留结构与知识余量，人群留时间与社会余量</w:t>
      </w:r>
      <w:r>
        <w:rPr>
          <w:color w:val="000000"/>
          <w:lang w:eastAsia="zh-CN"/>
        </w:rPr>
        <w:t>——</w:t>
      </w:r>
      <w:r>
        <w:rPr>
          <w:color w:val="000000"/>
          <w:lang w:eastAsia="zh-CN"/>
        </w:rPr>
        <w:t>四个维度的创新彼此咬合，共同构成一个不以效率为最高原则、而以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在任何不可预测的未来都能继续运转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为最高原则的新世界。</w:t>
      </w:r>
    </w:p>
    <w:p w14:paraId="0F83B897" w14:textId="77777777" w:rsidR="006C17C4" w:rsidRDefault="00000000">
      <w:pPr>
        <w:spacing w:after="0" w:line="360" w:lineRule="auto"/>
        <w:ind w:firstLineChars="200" w:firstLine="480"/>
      </w:pPr>
      <w:r>
        <w:rPr>
          <w:color w:val="000000"/>
          <w:lang w:eastAsia="zh-CN"/>
        </w:rPr>
        <w:t>正如模块一所说：先留出余量，再谈形状。</w:t>
      </w:r>
      <w:r>
        <w:rPr>
          <w:color w:val="000000"/>
        </w:rPr>
        <w:t>形状会变，余量永存。</w:t>
      </w:r>
    </w:p>
    <w:sectPr w:rsidR="006C17C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104499">
    <w:abstractNumId w:val="8"/>
  </w:num>
  <w:num w:numId="2" w16cid:durableId="995916554">
    <w:abstractNumId w:val="6"/>
  </w:num>
  <w:num w:numId="3" w16cid:durableId="1372919387">
    <w:abstractNumId w:val="5"/>
  </w:num>
  <w:num w:numId="4" w16cid:durableId="1751652853">
    <w:abstractNumId w:val="4"/>
  </w:num>
  <w:num w:numId="5" w16cid:durableId="957109194">
    <w:abstractNumId w:val="7"/>
  </w:num>
  <w:num w:numId="6" w16cid:durableId="141779625">
    <w:abstractNumId w:val="3"/>
  </w:num>
  <w:num w:numId="7" w16cid:durableId="1965650952">
    <w:abstractNumId w:val="2"/>
  </w:num>
  <w:num w:numId="8" w16cid:durableId="72436346">
    <w:abstractNumId w:val="1"/>
  </w:num>
  <w:num w:numId="9" w16cid:durableId="14804169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AD2"/>
    <w:rsid w:val="0067709E"/>
    <w:rsid w:val="006C17C4"/>
    <w:rsid w:val="009149CD"/>
    <w:rsid w:val="00AA1D8D"/>
    <w:rsid w:val="00B47730"/>
    <w:rsid w:val="00CB0664"/>
    <w:rsid w:val="00F00291"/>
    <w:rsid w:val="00FA6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3F927"/>
  <w14:defaultImageDpi w14:val="300"/>
  <w15:docId w15:val="{BB2B607A-77D2-419C-AF61-617F54E8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ntent-static.cctvnews.cctv.com/snow-book/index.html?item_id=11538623371737099128" TargetMode="External"/><Relationship Id="rId21" Type="http://schemas.openxmlformats.org/officeDocument/2006/relationships/hyperlink" Target="https://www.imo.org/en/OurWork/Environment/Pages/BallastWaterManagement.aspx" TargetMode="External"/><Relationship Id="rId42" Type="http://schemas.openxmlformats.org/officeDocument/2006/relationships/hyperlink" Target="https://www.bipm.org/en/publications/si-brochure/second" TargetMode="External"/><Relationship Id="rId47" Type="http://schemas.openxmlformats.org/officeDocument/2006/relationships/hyperlink" Target="https://www.mca.gov.cn/" TargetMode="External"/><Relationship Id="rId63" Type="http://schemas.openxmlformats.org/officeDocument/2006/relationships/hyperlink" Target="https://birdreport.cn/" TargetMode="External"/><Relationship Id="rId68" Type="http://schemas.openxmlformats.org/officeDocument/2006/relationships/hyperlink" Target="https://www.oph.fi/en" TargetMode="External"/><Relationship Id="rId7" Type="http://schemas.openxmlformats.org/officeDocument/2006/relationships/hyperlink" Target="https://scholareye.las.ac.cn/search/findOnePaper?uuid=f4c648eaeaa9508d79764e7b2191dea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nr.cn/zjfw/zjyw/20241017/t20241017_526942344.shtml" TargetMode="External"/><Relationship Id="rId29" Type="http://schemas.openxmlformats.org/officeDocument/2006/relationships/hyperlink" Target="https://changjiangyun.cjyun.org/p/4597183.html" TargetMode="External"/><Relationship Id="rId11" Type="http://schemas.openxmlformats.org/officeDocument/2006/relationships/hyperlink" Target="https://www.mdpi.com/1996-1073/14/20/6847" TargetMode="External"/><Relationship Id="rId24" Type="http://schemas.openxmlformats.org/officeDocument/2006/relationships/hyperlink" Target="https://www.imo.org/en/OurWork/Environment/Pages/BallastWaterManagement.aspx" TargetMode="External"/><Relationship Id="rId32" Type="http://schemas.openxmlformats.org/officeDocument/2006/relationships/hyperlink" Target="https://www.seedvault.no/?p=4077/" TargetMode="External"/><Relationship Id="rId37" Type="http://schemas.openxmlformats.org/officeDocument/2006/relationships/hyperlink" Target="http://www.ntsc.cas.cn/" TargetMode="External"/><Relationship Id="rId40" Type="http://schemas.openxmlformats.org/officeDocument/2006/relationships/hyperlink" Target="https://www.bipm.org/en/measurement-units/time" TargetMode="External"/><Relationship Id="rId45" Type="http://schemas.openxmlformats.org/officeDocument/2006/relationships/hyperlink" Target="https://www.sap.com/products/scm/enterprise-asset-management.html" TargetMode="External"/><Relationship Id="rId53" Type="http://schemas.openxmlformats.org/officeDocument/2006/relationships/hyperlink" Target="https://www.peopleapp.com/rmharticle/30029836115" TargetMode="External"/><Relationship Id="rId58" Type="http://schemas.openxmlformats.org/officeDocument/2006/relationships/hyperlink" Target="https://www.forestry.gov.cn/c/www/lcdt/679398.jhtml" TargetMode="External"/><Relationship Id="rId66" Type="http://schemas.openxmlformats.org/officeDocument/2006/relationships/hyperlink" Target="https://www.oph.fi/e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birdreport.cn/" TargetMode="External"/><Relationship Id="rId19" Type="http://schemas.openxmlformats.org/officeDocument/2006/relationships/hyperlink" Target="https://www.meygen.com/" TargetMode="External"/><Relationship Id="rId14" Type="http://schemas.openxmlformats.org/officeDocument/2006/relationships/hyperlink" Target="https://www.meygen.com/" TargetMode="External"/><Relationship Id="rId22" Type="http://schemas.openxmlformats.org/officeDocument/2006/relationships/hyperlink" Target="https://www.iaea.org/" TargetMode="External"/><Relationship Id="rId27" Type="http://schemas.openxmlformats.org/officeDocument/2006/relationships/hyperlink" Target="https://www.mee.gov.cn/xxgk/hjyw/202603/t20260312_1146462.shtml" TargetMode="External"/><Relationship Id="rId30" Type="http://schemas.openxmlformats.org/officeDocument/2006/relationships/hyperlink" Target="https://content-static.cctvnews.cctv.com/snow-book/index.html?item_id=11538623371737099128" TargetMode="External"/><Relationship Id="rId35" Type="http://schemas.openxmlformats.org/officeDocument/2006/relationships/hyperlink" Target="https://www.seedvault.no/2026/06/18/svalbard-global-seed-vault-crosses-major-milestone/" TargetMode="External"/><Relationship Id="rId43" Type="http://schemas.openxmlformats.org/officeDocument/2006/relationships/hyperlink" Target="http://www.ntsc.cas.cn/" TargetMode="External"/><Relationship Id="rId48" Type="http://schemas.openxmlformats.org/officeDocument/2006/relationships/hyperlink" Target="https://www.cncaprc.gov.cn/xwllxw/771564.jhtml" TargetMode="External"/><Relationship Id="rId56" Type="http://schemas.openxmlformats.org/officeDocument/2006/relationships/hyperlink" Target="https://www.peopleapp.com/rmharticle/30029836115" TargetMode="External"/><Relationship Id="rId64" Type="http://schemas.openxmlformats.org/officeDocument/2006/relationships/hyperlink" Target="https://www.forestry.gov.cn/c/www/lcdt/679398.jhtml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sh-ihw.com/news/130.html" TargetMode="External"/><Relationship Id="rId51" Type="http://schemas.openxmlformats.org/officeDocument/2006/relationships/hyperlink" Target="https://www.cncaprc.gov.cn/xwllxw/771564.j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castjournals.cast.org.cn/joweb/rlfd/CN/PDF/1236699941939237324" TargetMode="External"/><Relationship Id="rId17" Type="http://schemas.openxmlformats.org/officeDocument/2006/relationships/hyperlink" Target="http://www.meygen.com/web/" TargetMode="External"/><Relationship Id="rId25" Type="http://schemas.openxmlformats.org/officeDocument/2006/relationships/hyperlink" Target="https://hbj.wuhan.gov.cn/hjxw/202603/t20260330_2747018.html" TargetMode="External"/><Relationship Id="rId33" Type="http://schemas.openxmlformats.org/officeDocument/2006/relationships/hyperlink" Target="https://www.seedvault.no/" TargetMode="External"/><Relationship Id="rId38" Type="http://schemas.openxmlformats.org/officeDocument/2006/relationships/hyperlink" Target="https://www.bipm.org/en/time-ftp/its" TargetMode="External"/><Relationship Id="rId46" Type="http://schemas.openxmlformats.org/officeDocument/2006/relationships/hyperlink" Target="https://www.cncaprc.gov.cn/xwllxw/771564.jhtml" TargetMode="External"/><Relationship Id="rId59" Type="http://schemas.openxmlformats.org/officeDocument/2006/relationships/hyperlink" Target="https://ebird.org/" TargetMode="External"/><Relationship Id="rId67" Type="http://schemas.openxmlformats.org/officeDocument/2006/relationships/hyperlink" Target="https://www.moe.gov.cn/srcsite/A26/s8001/202204/W020220420582343217634.pdf" TargetMode="External"/><Relationship Id="rId20" Type="http://schemas.openxmlformats.org/officeDocument/2006/relationships/hyperlink" Target="https://www.iaea.org/topics/radiation-protection" TargetMode="External"/><Relationship Id="rId41" Type="http://schemas.openxmlformats.org/officeDocument/2006/relationships/hyperlink" Target="http://www.ntsc.cas.cn/" TargetMode="External"/><Relationship Id="rId54" Type="http://schemas.openxmlformats.org/officeDocument/2006/relationships/hyperlink" Target="https://cn.chinadaily.com.cn/a/202107/07/WS60e4e73ea3101e7ce97586c5.html" TargetMode="External"/><Relationship Id="rId62" Type="http://schemas.openxmlformats.org/officeDocument/2006/relationships/hyperlink" Target="https://ebird.org/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mdpi.com/1996-1073/14/20/6847" TargetMode="External"/><Relationship Id="rId15" Type="http://schemas.openxmlformats.org/officeDocument/2006/relationships/hyperlink" Target="http://www.meygen.com?p=28/" TargetMode="External"/><Relationship Id="rId23" Type="http://schemas.openxmlformats.org/officeDocument/2006/relationships/hyperlink" Target="https://www-pub.iaea.org/" TargetMode="External"/><Relationship Id="rId28" Type="http://schemas.openxmlformats.org/officeDocument/2006/relationships/hyperlink" Target="https://sthjt.jiangsu.gov.cn/art/2026/3/13/art_84025_11742092.html" TargetMode="External"/><Relationship Id="rId36" Type="http://schemas.openxmlformats.org/officeDocument/2006/relationships/hyperlink" Target="https://www.nordgen.org/" TargetMode="External"/><Relationship Id="rId49" Type="http://schemas.openxmlformats.org/officeDocument/2006/relationships/hyperlink" Target="https://www.cnr.cn/shanghai/gstjshanghai/20260111/t20260111_527489728.shtml" TargetMode="External"/><Relationship Id="rId57" Type="http://schemas.openxmlformats.org/officeDocument/2006/relationships/hyperlink" Target="https://pmc.ncbi.nlm.nih.gov/articles/PMC4623867/" TargetMode="External"/><Relationship Id="rId10" Type="http://schemas.openxmlformats.org/officeDocument/2006/relationships/hyperlink" Target="http://www.iet.cas.cn/" TargetMode="External"/><Relationship Id="rId31" Type="http://schemas.openxmlformats.org/officeDocument/2006/relationships/hyperlink" Target="https://www.seedvault.no/" TargetMode="External"/><Relationship Id="rId44" Type="http://schemas.openxmlformats.org/officeDocument/2006/relationships/hyperlink" Target="https://www.sap.com/products/scm/enterprise-asset-management.html" TargetMode="External"/><Relationship Id="rId52" Type="http://schemas.openxmlformats.org/officeDocument/2006/relationships/hyperlink" Target="https://cn.chinadaily.com.cn/a/202107/07/WS60e4e73ea3101e7ce97586c5.html" TargetMode="External"/><Relationship Id="rId60" Type="http://schemas.openxmlformats.org/officeDocument/2006/relationships/hyperlink" Target="https://ebird.org/news/ebird-20th-anniversary" TargetMode="External"/><Relationship Id="rId65" Type="http://schemas.openxmlformats.org/officeDocument/2006/relationships/hyperlink" Target="https://www.moe.gov.cn/srcsite/A26/s8001/202204/W020220420582343217634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eopleapp.com/rmharticle/30024651656" TargetMode="External"/><Relationship Id="rId13" Type="http://schemas.openxmlformats.org/officeDocument/2006/relationships/hyperlink" Target="https://www.mdpi.com/1996-1073/14/20/6847" TargetMode="External"/><Relationship Id="rId18" Type="http://schemas.openxmlformats.org/officeDocument/2006/relationships/hyperlink" Target="https://tethys.pnnl.gov/project-sites/meygen-tidal-energy-project" TargetMode="External"/><Relationship Id="rId39" Type="http://schemas.openxmlformats.org/officeDocument/2006/relationships/hyperlink" Target="http://www.ntsc.cas.cn/" TargetMode="External"/><Relationship Id="rId34" Type="http://schemas.openxmlformats.org/officeDocument/2006/relationships/hyperlink" Target="https://www.nordgen.org/" TargetMode="External"/><Relationship Id="rId50" Type="http://schemas.openxmlformats.org/officeDocument/2006/relationships/hyperlink" Target="https://www.mca.gov.cn/article/xw/mzyw/202303/20230300046804.shtml" TargetMode="External"/><Relationship Id="rId55" Type="http://schemas.openxmlformats.org/officeDocument/2006/relationships/hyperlink" Target="https://cn.chinadaily.com.cn/a/202107/07/WS60e4e73ea3101e7ce97586c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于震瀛</cp:lastModifiedBy>
  <cp:revision>2</cp:revision>
  <dcterms:created xsi:type="dcterms:W3CDTF">2026-10-07T15:53:00Z</dcterms:created>
  <dcterms:modified xsi:type="dcterms:W3CDTF">2026-10-07T15:53:00Z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{"Label":"1","ContentProducer":"001191440300708461136T1WFUO","ProduceID":"6e8db1747247f7e312e7797a6768d8ba-AgDZ","ReservedCode1":"{\"Type\":\" TC260PG\",\"Version\":1,\"Bindings\":[{\"Type\":\"soft\",\"AlgID\":\"sm3\",\"Value\":\"9fc38dcb128ca9e85525e0312f095f050a2eccf86954a14c131b3c2130e03185\"},{\"Type\":\"hash\",\"AlgID\":\"sm3\",\"Value\":\"2230a6e4408cec96a96351bf6da26b78cf49a5c2244ff41b24246931dcf26120\"}],\"PubSD\":[{\"Type\":\"DS\",\"AlgID\":\"sm2\",\"TBSData\":{\"Type\":\"Binding\",\"BType\":\"hash\"},\"Signature\":\"30460221009c395c955c37e46686ed9ce3eb82bcfa73284cfa596ebd9dfb4dcf1c583338570221009983f404da6df0fb3b95c0e3e1fe1811c1709936136c9305d3b1edf82543f526\"},{\"Type\":\"PubKey\",\"AlgID\":\"sm2\",\"KeyValue\":\"0407f79b28a17a752b3aae4305c98b48978213832729a2571850b1310b2bc9fe8fee039ccf25ebfeac27502414d9fcef792d777183c98893d226171c2f7a3289a2\"}],\"Extension\":{\"Timestamp\":1791304096,\"KeyVersion\":\"v1-TxLeOmf7bqU223\"}}","ContentPropagator":"001191440300708461136T1WFUO","PropagateID":"6e8db1747247f7e312e7797a6768d8ba-AgDZ","ReservedCode2":"{\"Type\":\" TC260PG\",\"Version\":1,\"Bindings\":[{\"Type\":\"soft\",\"AlgID\":\"sm3\",\"Value\":\"9fc38dcb128ca9e85525e0312f095f050a2eccf86954a14c131b3c2130e03185\"},{\"Type\":\"hash\",\"AlgID\":\"sm3\",\"Value\":\"2230a6e4408cec96a96351bf6da26b78cf49a5c2244ff41b24246931dcf26120\"}],\"PubSD\":[{\"Type\":\"DS\",\"AlgID\":\"sm2\",\"TBSData\":{\"Type\":\"Binding\",\"BType\":\"hash\"},\"Signature\":\"304502203c6e4cd19206f7c180151bfc859b24819befffa6724e9d8b0aa94aee93f2457e02210083c92d27c364bafa6d5a4731b3300f789f394db2fe2c5b5b0c67afb6251e2105\"},{\"Type\":\"PubKey\",\"AlgID\":\"sm2\",\"KeyValue\":\"0407f79b28a17a752b3aae4305c98b48978213832729a2571850b1310b2bc9fe8fee039ccf25ebfeac27502414d9fcef792d777183c98893d226171c2f7a3289a2\"}],\"Extension\":{\"Timestamp\":1791304096,\"KeyVersion\":\"v1-TxLeOmf7bqU223\"}}"}</vt:lpwstr>
  </property>
</Properties>
</file>