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Treasury Auction Micro-Factor → Yield-Curve Movement Forecast</w:t>
      </w:r>
    </w:p>
    <w:p>
      <w:pPr>
        <w:pBdr>
          <w:bottom w:val="single" w:color="1F4E79" w:sz="8" w:space="4"/>
        </w:pBdr>
        <w:spacing w:after="200"/>
      </w:pPr>
      <w:r>
        <w:rPr>
          <w:rFonts w:ascii="Calibri" w:cs="Calibri" w:eastAsia="Calibri" w:hAnsi="Calibri"/>
          <w:color w:val="1F4E79"/>
          <w:sz w:val="26"/>
          <w:szCs w:val="26"/>
        </w:rPr>
        <w:t xml:space="preserve">Complete Methodology and Implementation Specification</w:t>
      </w:r>
    </w:p>
    <w:p>
      <w:pPr>
        <w:spacing w:after="40"/>
      </w:pPr>
      <w:r>
        <w:rPr>
          <w:rFonts w:ascii="Calibri" w:cs="Calibri" w:eastAsia="Calibri" w:hAnsi="Calibri"/>
          <w:b/>
          <w:bCs/>
          <w:sz w:val="22"/>
          <w:szCs w:val="22"/>
        </w:rPr>
        <w:t xml:space="preserve">Author: Zinuo (Ashley) Shi</w:t>
      </w:r>
    </w:p>
    <w:p>
      <w:pPr>
        <w:spacing w:after="40"/>
      </w:pPr>
      <w:r>
        <w:rPr>
          <w:rFonts w:ascii="Calibri" w:cs="Calibri" w:eastAsia="Calibri" w:hAnsi="Calibri"/>
          <w:sz w:val="22"/>
          <w:szCs w:val="22"/>
        </w:rPr>
        <w:t xml:space="preserve">Scope: 30-year U.S. Treasury auctions, 2007–present, intraday (minute) frequency</w:t>
      </w:r>
    </w:p>
    <w:p>
      <w:pPr>
        <w:spacing w:after="200"/>
      </w:pPr>
      <w:r>
        <w:rPr>
          <w:rFonts w:ascii="Calibri" w:cs="Calibri" w:eastAsia="Calibri" w:hAnsi="Calibri"/>
          <w:i/>
          <w:iCs/>
          <w:color w:val="595959"/>
          <w:sz w:val="22"/>
          <w:szCs w:val="22"/>
        </w:rPr>
        <w:t xml:space="preserve">Status: Working specification — for internal review and, subject to compliance approval, transfer.</w:t>
      </w:r>
    </w:p>
    <w:p>
      <w:pPr>
        <w:spacing w:after="80" w:before="120"/>
      </w:pPr>
      <w:r>
        <w:rPr>
          <w:rFonts w:ascii="Calibri" w:cs="Calibri" w:eastAsia="Calibri" w:hAnsi="Calibri"/>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rFonts w:ascii="Calibri" w:cs="Calibri" w:eastAsia="Calibri" w:hAnsi="Calibri"/>
          <w:sz w:val="22"/>
          <w:szCs w:val="22"/>
        </w:rPr>
        <w:t xml:space="preserve">This document specifies a quantitative pipeline that uses intraday data around U.S. Treasury auctions to forecast next-day yield-curve movements and to measure how the influence of an auction decays over the following days. The design proceeds in five steps: (i) fit a smooth “fair” curve to the maturity cross-section each minute; (ii) isolate a micro factor as the residual of the on-the-run long bond against that curve; (iii) characterise the market regime the micro factor occupies around each auction with a hidden Markov model; (iv) collapse each auction into a feature vector observable by the close of the auction day; and (v) forecast the next-day curve move while separately estimating an auction-influence decay profile.</w:t>
      </w:r>
    </w:p>
    <w:p>
      <w:pPr>
        <w:spacing w:after="120" w:line="276"/>
      </w:pPr>
      <w:r>
        <w:rPr>
          <w:rFonts w:ascii="Calibri" w:cs="Calibri" w:eastAsia="Calibri" w:hAnsi="Calibri"/>
          <w:sz w:val="22"/>
          <w:szCs w:val="22"/>
        </w:rPr>
        <w:t xml:space="preserve">The forecasting unit is the auction (one row per auction; approximately 220 thirty-year auctions since 2007). The regime model is a </w:t>
      </w:r>
      <w:r>
        <w:rPr>
          <w:rFonts w:ascii="Calibri" w:cs="Calibri" w:eastAsia="Calibri" w:hAnsi="Calibri"/>
          <w:i/>
          <w:iCs/>
          <w:sz w:val="22"/>
          <w:szCs w:val="22"/>
        </w:rPr>
        <w:t xml:space="preserve">feature generator</w:t>
      </w:r>
      <w:r>
        <w:rPr>
          <w:rFonts w:ascii="Calibri" w:cs="Calibri" w:eastAsia="Calibri" w:hAnsi="Calibri"/>
          <w:sz w:val="22"/>
          <w:szCs w:val="22"/>
        </w:rPr>
        <w:t xml:space="preserve">, not the endpoint. The economic prior is post-auction reversal: the concession that builds into an auction tends to unwind over subsequent days (</w:t>
      </w:r>
      <w:hyperlink w:history="1" r:id="rIdixvhy50e5qc_xtcxuzgmk">
        <w:r>
          <w:rPr>
            <w:rStyle w:val="Hyperlink"/>
            <w:rFonts w:ascii="Calibri" w:cs="Calibri" w:eastAsia="Calibri" w:hAnsi="Calibri"/>
            <w:sz w:val="22"/>
            <w:szCs w:val="22"/>
          </w:rPr>
          <w:t xml:space="preserve">Lou, Yan &amp; Zhang 2013</w:t>
        </w:r>
      </w:hyperlink>
      <w:r>
        <w:rPr>
          <w:rFonts w:ascii="Calibri" w:cs="Calibri" w:eastAsia="Calibri" w:hAnsi="Calibri"/>
          <w:sz w:val="22"/>
          <w:szCs w:val="22"/>
        </w:rPr>
        <w:t xml:space="preserve">). The analysis is designed to be leakage-safe: every data-fit transformation is estimated on training data only within each cross-validation fold.</w:t>
      </w:r>
    </w:p>
    <w:p>
      <w:pPr>
        <w:pStyle w:val="Heading1"/>
      </w:pPr>
      <w:r>
        <w:t xml:space="preserve">2. Data and Notation</w:t>
      </w:r>
    </w:p>
    <w:p>
      <w:pPr>
        <w:spacing w:after="120" w:line="276"/>
      </w:pPr>
      <w:r>
        <w:rPr>
          <w:rFonts w:ascii="Calibri" w:cs="Calibri" w:eastAsia="Calibri" w:hAnsi="Calibri"/>
          <w:sz w:val="22"/>
          <w:szCs w:val="22"/>
        </w:rPr>
        <w:t xml:space="preserve">Let </w:t>
      </w:r>
      <w:r>
        <w:rPr>
          <w:rFonts w:ascii="Calibri" w:cs="Calibri" w:eastAsia="Calibri" w:hAnsi="Calibri"/>
          <w:i/>
          <w:iCs/>
          <w:sz w:val="22"/>
          <w:szCs w:val="22"/>
        </w:rPr>
        <w:t xml:space="preserve">y</w:t>
      </w:r>
      <w:r>
        <w:rPr>
          <w:rFonts w:ascii="Calibri" w:cs="Calibri" w:eastAsia="Calibri" w:hAnsi="Calibri"/>
          <w:i/>
          <w:iCs/>
          <w:sz w:val="22"/>
          <w:szCs w:val="22"/>
        </w:rPr>
        <w:t xml:space="preserve">ₜ(τ) </w:t>
      </w:r>
      <w:r>
        <w:rPr>
          <w:rFonts w:ascii="Calibri" w:cs="Calibri" w:eastAsia="Calibri" w:hAnsi="Calibri"/>
          <w:sz w:val="22"/>
          <w:szCs w:val="22"/>
        </w:rPr>
        <w:t xml:space="preserve">denote the observed yield at minute </w:t>
      </w:r>
      <w:r>
        <w:rPr>
          <w:rFonts w:ascii="Calibri" w:cs="Calibri" w:eastAsia="Calibri" w:hAnsi="Calibri"/>
          <w:i/>
          <w:iCs/>
          <w:sz w:val="22"/>
          <w:szCs w:val="22"/>
        </w:rPr>
        <w:t xml:space="preserve">t</w:t>
      </w:r>
      <w:r>
        <w:rPr>
          <w:rFonts w:ascii="Calibri" w:cs="Calibri" w:eastAsia="Calibri" w:hAnsi="Calibri"/>
          <w:sz w:val="22"/>
          <w:szCs w:val="22"/>
        </w:rPr>
        <w:t xml:space="preserve"> for maturity τ. The maturity set is ℳ = {2, 3, 5, 7, 10, 20, 30} years. The auction close anchor is 13:00 ET; the intraday event window is ±240 minutes. The forecast horizon is </w:t>
      </w:r>
      <w:r>
        <w:rPr>
          <w:rFonts w:ascii="Calibri" w:cs="Calibri" w:eastAsia="Calibri" w:hAnsi="Calibri"/>
          <w:i/>
          <w:iCs/>
          <w:sz w:val="22"/>
          <w:szCs w:val="22"/>
        </w:rPr>
        <w:t xml:space="preserve">h</w:t>
      </w:r>
      <w:r>
        <w:rPr>
          <w:rFonts w:ascii="Calibri" w:cs="Calibri" w:eastAsia="Calibri" w:hAnsi="Calibri"/>
          <w:sz w:val="22"/>
          <w:szCs w:val="22"/>
        </w:rPr>
        <w:t xml:space="preserve"> = 1 business day; the decay horizon is </w:t>
      </w:r>
      <w:r>
        <w:rPr>
          <w:rFonts w:ascii="Calibri" w:cs="Calibri" w:eastAsia="Calibri" w:hAnsi="Calibri"/>
          <w:i/>
          <w:iCs/>
          <w:sz w:val="22"/>
          <w:szCs w:val="22"/>
        </w:rPr>
        <w:t xml:space="preserve">H</w:t>
      </w:r>
      <w:r>
        <w:rPr>
          <w:rFonts w:ascii="Calibri" w:cs="Calibri" w:eastAsia="Calibri" w:hAnsi="Calibri"/>
          <w:sz w:val="22"/>
          <w:szCs w:val="22"/>
        </w:rPr>
        <w:t xml:space="preserve"> = 10 business days.</w:t>
      </w:r>
    </w:p>
    <w:p>
      <w:pPr>
        <w:spacing w:after="120" w:line="276"/>
      </w:pPr>
      <w:r>
        <w:rPr>
          <w:rFonts w:ascii="Calibri" w:cs="Calibri" w:eastAsia="Calibri" w:hAnsi="Calibri"/>
          <w:sz w:val="22"/>
          <w:szCs w:val="22"/>
        </w:rPr>
        <w:t xml:space="preserve">Inputs: the desk’s continuous intraday tape (all maturities, every 30-year auction since 2007) and Bloomberg macro and auction-result fields. The Federal Reserve Board’s published daily fitted-curve parameters provide an external benchmark (</w:t>
      </w:r>
      <w:hyperlink w:history="1" r:id="rIdiewp5gdfifw0evg3znpd5">
        <w:r>
          <w:rPr>
            <w:rStyle w:val="Hyperlink"/>
            <w:rFonts w:ascii="Calibri" w:cs="Calibri" w:eastAsia="Calibri" w:hAnsi="Calibri"/>
            <w:sz w:val="22"/>
            <w:szCs w:val="22"/>
          </w:rPr>
          <w:t xml:space="preserve">Federal Reserve nominal yield curve data</w:t>
        </w:r>
      </w:hyperlink>
      <w:r>
        <w:rPr>
          <w:rFonts w:ascii="Calibri" w:cs="Calibri" w:eastAsia="Calibri" w:hAnsi="Calibri"/>
          <w:sz w:val="22"/>
          <w:szCs w:val="22"/>
        </w:rPr>
        <w:t xml:space="preserve">).</w:t>
      </w:r>
    </w:p>
    <w:p>
      <w:pPr>
        <w:pStyle w:val="Heading1"/>
      </w:pPr>
      <w:r>
        <w:t xml:space="preserve">3. Stage 1 — Curve Construction and Micro-Factor Isolation</w:t>
      </w:r>
    </w:p>
    <w:p>
      <w:pPr>
        <w:pStyle w:val="Heading2"/>
      </w:pPr>
      <w:r>
        <w:t xml:space="preserve">3.1 Parametric curve (Svensson)</w:t>
      </w:r>
    </w:p>
    <w:p>
      <w:pPr>
        <w:spacing w:after="120" w:line="276"/>
      </w:pPr>
      <w:r>
        <w:rPr>
          <w:rFonts w:ascii="Calibri" w:cs="Calibri" w:eastAsia="Calibri" w:hAnsi="Calibri"/>
          <w:sz w:val="22"/>
          <w:szCs w:val="22"/>
        </w:rPr>
        <w:t xml:space="preserve">At each minute, fit the </w:t>
      </w:r>
      <w:hyperlink w:history="1" r:id="rIdwxxoc-wksljgt453uovwl">
        <w:r>
          <w:rPr>
            <w:rStyle w:val="Hyperlink"/>
            <w:rFonts w:ascii="Calibri" w:cs="Calibri" w:eastAsia="Calibri" w:hAnsi="Calibri"/>
            <w:sz w:val="22"/>
            <w:szCs w:val="22"/>
          </w:rPr>
          <w:t xml:space="preserve">Svensson (1994)</w:t>
        </w:r>
      </w:hyperlink>
      <w:r>
        <w:rPr>
          <w:rFonts w:ascii="Calibri" w:cs="Calibri" w:eastAsia="Calibri" w:hAnsi="Calibri"/>
          <w:sz w:val="22"/>
          <w:szCs w:val="22"/>
        </w:rPr>
        <w:t xml:space="preserve"> extension of the </w:t>
      </w:r>
      <w:hyperlink w:history="1" r:id="rIdyoucs_7s6_jh8bxi5j0xr">
        <w:r>
          <w:rPr>
            <w:rStyle w:val="Hyperlink"/>
            <w:rFonts w:ascii="Calibri" w:cs="Calibri" w:eastAsia="Calibri" w:hAnsi="Calibri"/>
            <w:sz w:val="22"/>
            <w:szCs w:val="22"/>
          </w:rPr>
          <w:t xml:space="preserve">Nelson–Siegel (1987)</w:t>
        </w:r>
      </w:hyperlink>
      <w:r>
        <w:rPr>
          <w:rFonts w:ascii="Calibri" w:cs="Calibri" w:eastAsia="Calibri" w:hAnsi="Calibri"/>
          <w:sz w:val="22"/>
          <w:szCs w:val="22"/>
        </w:rPr>
        <w:t xml:space="preserve"> model to the cross-section {yₜ(τᵢ)}. This is the functional form the Federal Reserve Board uses for its published daily curve (</w:t>
      </w:r>
      <w:hyperlink w:history="1" r:id="rIdtidgwgbbr1appig3ncmtl">
        <w:r>
          <w:rPr>
            <w:rStyle w:val="Hyperlink"/>
            <w:rFonts w:ascii="Calibri" w:cs="Calibri" w:eastAsia="Calibri" w:hAnsi="Calibri"/>
            <w:sz w:val="22"/>
            <w:szCs w:val="22"/>
          </w:rPr>
          <w:t xml:space="preserve">Gürkaynak, Sack &amp; Wright 2007</w:t>
        </w:r>
      </w:hyperlink>
      <w:r>
        <w:rPr>
          <w:rFonts w:ascii="Calibri" w:cs="Calibri" w:eastAsia="Calibri" w:hAnsi="Calibri"/>
          <w:sz w:val="22"/>
          <w:szCs w:val="22"/>
        </w:rPr>
        <w:t xml:space="preserve">, JME 54:2291–2304; </w:t>
      </w:r>
      <w:hyperlink w:history="1" r:id="rIdb4la-gn6mu8_6r6sczggg">
        <w:r>
          <w:rPr>
            <w:rStyle w:val="Hyperlink"/>
            <w:rFonts w:ascii="Calibri" w:cs="Calibri" w:eastAsia="Calibri" w:hAnsi="Calibri"/>
            <w:sz w:val="22"/>
            <w:szCs w:val="22"/>
          </w:rPr>
          <w:t xml:space="preserve">FEDS 2006-28</w:t>
        </w:r>
      </w:hyperlink>
      <w:r>
        <w:rPr>
          <w:rFonts w:ascii="Calibri" w:cs="Calibri" w:eastAsia="Calibri" w:hAnsi="Calibri"/>
          <w:sz w:val="22"/>
          <w:szCs w:val="22"/>
        </w:rPr>
        <w:t xml:space="preserve">):</w:t>
      </w:r>
    </w:p>
    <w:p>
      <w:pPr>
        <w:spacing w:after="140" w:before="80"/>
        <w:jc w:val="center"/>
      </w:pPr>
      <w:r>
        <w:rPr>
          <w:rFonts w:ascii="Consolas" w:cs="Consolas" w:eastAsia="Consolas" w:hAnsi="Consolas"/>
          <w:i w:val="false"/>
          <w:iCs w:val="false"/>
          <w:sz w:val="21"/>
          <w:szCs w:val="21"/>
        </w:rPr>
        <w:t xml:space="preserve">ŷₜ(τ) = β₀ + β₁·[(1−e^(−τ/λ₁))/(τ/λ₁)]</w:t>
      </w:r>
    </w:p>
    <w:p>
      <w:pPr>
        <w:spacing w:after="140" w:before="80"/>
        <w:jc w:val="center"/>
      </w:pPr>
      <w:r>
        <w:rPr>
          <w:rFonts w:ascii="Consolas" w:cs="Consolas" w:eastAsia="Consolas" w:hAnsi="Consolas"/>
          <w:i w:val="false"/>
          <w:iCs w:val="false"/>
          <w:sz w:val="21"/>
          <w:szCs w:val="21"/>
        </w:rPr>
        <w:t xml:space="preserve">        + β₂·[(1−e^(−τ/λ₁))/(τ/λ₁) − e^(−τ/λ₁)]</w:t>
      </w:r>
    </w:p>
    <w:p>
      <w:pPr>
        <w:spacing w:after="140" w:before="80"/>
        <w:jc w:val="center"/>
      </w:pPr>
      <w:r>
        <w:rPr>
          <w:rFonts w:ascii="Consolas" w:cs="Consolas" w:eastAsia="Consolas" w:hAnsi="Consolas"/>
          <w:i w:val="false"/>
          <w:iCs w:val="false"/>
          <w:sz w:val="21"/>
          <w:szCs w:val="21"/>
        </w:rPr>
        <w:t xml:space="preserve">        + β₃·[(1−e^(−τ/λ₂))/(τ/λ₂) − e^(−τ/λ₂)]</w:t>
      </w:r>
    </w:p>
    <w:p>
      <w:pPr>
        <w:spacing w:after="120" w:line="276"/>
      </w:pPr>
      <w:r>
        <w:rPr>
          <w:rFonts w:ascii="Calibri" w:cs="Calibri" w:eastAsia="Calibri" w:hAnsi="Calibri"/>
          <w:sz w:val="22"/>
          <w:szCs w:val="22"/>
        </w:rPr>
        <w:t xml:space="preserve">Parameters θₜ = (β₀, β₁, β₂, β₃, λ₁, λ₂) are estimated by nonlinear least squares. β₀, β₁, β₂ load on level, slope, and curvature; β₃ and λ₂ add a second hump.</w:t>
      </w:r>
    </w:p>
    <w:p>
      <w:pPr>
        <w:pStyle w:val="Heading2"/>
      </w:pPr>
      <w:r>
        <w:t xml:space="preserve">3.2 Micro factor and cross-sectional noise</w:t>
      </w:r>
    </w:p>
    <w:p>
      <w:pPr>
        <w:spacing w:after="120" w:line="276"/>
      </w:pPr>
      <w:r>
        <w:rPr>
          <w:rFonts w:ascii="Calibri" w:cs="Calibri" w:eastAsia="Calibri" w:hAnsi="Calibri"/>
          <w:sz w:val="22"/>
          <w:szCs w:val="22"/>
        </w:rPr>
        <w:t xml:space="preserve">The micro factor is the on-the-run 30-year residual against the fitted curve:</w:t>
      </w:r>
    </w:p>
    <w:p>
      <w:pPr>
        <w:spacing w:after="140" w:before="80"/>
        <w:jc w:val="center"/>
      </w:pPr>
      <w:r>
        <w:rPr>
          <w:rFonts w:ascii="Consolas" w:cs="Consolas" w:eastAsia="Consolas" w:hAnsi="Consolas"/>
          <w:i w:val="false"/>
          <w:iCs w:val="false"/>
          <w:sz w:val="21"/>
          <w:szCs w:val="21"/>
        </w:rPr>
        <w:t xml:space="preserve">microₜ = yₜ(30)|OTR − ŷₜ(30)</w:t>
      </w:r>
    </w:p>
    <w:p>
      <w:pPr>
        <w:spacing w:after="120" w:line="276"/>
      </w:pPr>
      <w:r>
        <w:rPr>
          <w:rFonts w:ascii="Calibri" w:cs="Calibri" w:eastAsia="Calibri" w:hAnsi="Calibri"/>
          <w:sz w:val="22"/>
          <w:szCs w:val="22"/>
        </w:rPr>
        <w:t xml:space="preserve">Aggregate dispersion follows the </w:t>
      </w:r>
      <w:hyperlink w:history="1" r:id="rIdzoatbxry8-xo9avps_a5b">
        <w:r>
          <w:rPr>
            <w:rStyle w:val="Hyperlink"/>
            <w:rFonts w:ascii="Calibri" w:cs="Calibri" w:eastAsia="Calibri" w:hAnsi="Calibri"/>
            <w:sz w:val="22"/>
            <w:szCs w:val="22"/>
          </w:rPr>
          <w:t xml:space="preserve">Hu, Pan &amp; Wang (2013)</w:t>
        </w:r>
      </w:hyperlink>
      <w:r>
        <w:rPr>
          <w:rFonts w:ascii="Calibri" w:cs="Calibri" w:eastAsia="Calibri" w:hAnsi="Calibri"/>
          <w:sz w:val="22"/>
          <w:szCs w:val="22"/>
        </w:rPr>
        <w:t xml:space="preserve"> “noise” measure (JF 68(6):2341–2382, DOI 10.1111/jofi.12083) — the root-mean-square deviation of observed yields from the fitted curve:</w:t>
      </w:r>
    </w:p>
    <w:p>
      <w:pPr>
        <w:spacing w:after="140" w:before="80"/>
        <w:jc w:val="center"/>
      </w:pPr>
      <w:r>
        <w:rPr>
          <w:rFonts w:ascii="Consolas" w:cs="Consolas" w:eastAsia="Consolas" w:hAnsi="Consolas"/>
          <w:i w:val="false"/>
          <w:iCs w:val="false"/>
          <w:sz w:val="21"/>
          <w:szCs w:val="21"/>
        </w:rPr>
        <w:t xml:space="preserve">Noiseₜ = sqrt( (1/Nₜ) · Σᵢ [ yₜ(τᵢ) − ŷₜ(τᵢ) ]² )</w:t>
      </w:r>
    </w:p>
    <w:p>
      <w:pPr>
        <w:spacing w:after="120" w:line="276"/>
      </w:pPr>
      <w:r>
        <w:rPr>
          <w:rFonts w:ascii="Calibri" w:cs="Calibri" w:eastAsia="Calibri" w:hAnsi="Calibri"/>
          <w:sz w:val="22"/>
          <w:szCs w:val="22"/>
        </w:rPr>
        <w:t xml:space="preserve">Economic content: when arbitrage capital is abundant the curve is smooth and Noise is low; under stress, yields move freely relative to the curve and noise rises. Run at minute frequency, this is the high-frequency analogue of the monthly HPW construction.</w:t>
      </w:r>
    </w:p>
    <w:p>
      <w:pPr>
        <w:spacing w:after="120" w:line="276"/>
      </w:pPr>
      <w:r>
        <w:rPr>
          <w:rFonts w:ascii="Calibri" w:cs="Calibri" w:eastAsia="Calibri" w:hAnsi="Calibri"/>
          <w:sz w:val="22"/>
          <w:szCs w:val="22"/>
        </w:rPr>
        <w:t xml:space="preserve">Code references: </w:t>
      </w:r>
      <w:hyperlink w:history="1" r:id="rIdscso4q-gjne5reqn09ccd">
        <w:r>
          <w:rPr>
            <w:rStyle w:val="Hyperlink"/>
            <w:rFonts w:ascii="Calibri" w:cs="Calibri" w:eastAsia="Calibri" w:hAnsi="Calibri"/>
            <w:sz w:val="22"/>
            <w:szCs w:val="22"/>
          </w:rPr>
          <w:t xml:space="preserve">supreeth8/Term_structure_modeling</w:t>
        </w:r>
      </w:hyperlink>
      <w:r>
        <w:rPr>
          <w:rFonts w:ascii="Calibri" w:cs="Calibri" w:eastAsia="Calibri" w:hAnsi="Calibri"/>
          <w:sz w:val="22"/>
          <w:szCs w:val="22"/>
        </w:rPr>
        <w:t xml:space="preserve"> (Nelson–Siegel + cubic spline); </w:t>
      </w:r>
      <w:hyperlink w:history="1" r:id="rIdzv4xxhfwkwda1xkmplje7">
        <w:r>
          <w:rPr>
            <w:rStyle w:val="Hyperlink"/>
            <w:rFonts w:ascii="Calibri" w:cs="Calibri" w:eastAsia="Calibri" w:hAnsi="Calibri"/>
            <w:sz w:val="22"/>
            <w:szCs w:val="22"/>
          </w:rPr>
          <w:t xml:space="preserve">yye9701/KR_example</w:t>
        </w:r>
      </w:hyperlink>
      <w:r>
        <w:rPr>
          <w:rFonts w:ascii="Calibri" w:cs="Calibri" w:eastAsia="Calibri" w:hAnsi="Calibri"/>
          <w:sz w:val="22"/>
          <w:szCs w:val="22"/>
        </w:rPr>
        <w:t xml:space="preserve"> (kernel-ridge discount curve, companion to </w:t>
      </w:r>
      <w:hyperlink w:history="1" r:id="rIdsjog8w0putilufuipoju9">
        <w:r>
          <w:rPr>
            <w:rStyle w:val="Hyperlink"/>
            <w:rFonts w:ascii="Calibri" w:cs="Calibri" w:eastAsia="Calibri" w:hAnsi="Calibri"/>
            <w:sz w:val="22"/>
            <w:szCs w:val="22"/>
          </w:rPr>
          <w:t xml:space="preserve">Filipović, Pelger &amp; Ye 2022</w:t>
        </w:r>
      </w:hyperlink>
      <w:r>
        <w:rPr>
          <w:rFonts w:ascii="Calibri" w:cs="Calibri" w:eastAsia="Calibri" w:hAnsi="Calibri"/>
          <w:sz w:val="22"/>
          <w:szCs w:val="22"/>
        </w:rPr>
        <w:t xml:space="preserve">); </w:t>
      </w:r>
      <w:hyperlink w:history="1" r:id="rIdqf98raw1znrfrqigh_fb0">
        <w:r>
          <w:rPr>
            <w:rStyle w:val="Hyperlink"/>
            <w:rFonts w:ascii="Calibri" w:cs="Calibri" w:eastAsia="Calibri" w:hAnsi="Calibri"/>
            <w:sz w:val="22"/>
            <w:szCs w:val="22"/>
          </w:rPr>
          <w:t xml:space="preserve">luphord/nelson_siegel_svensson</w:t>
        </w:r>
      </w:hyperlink>
      <w:r>
        <w:rPr>
          <w:rFonts w:ascii="Calibri" w:cs="Calibri" w:eastAsia="Calibri" w:hAnsi="Calibri"/>
          <w:sz w:val="22"/>
          <w:szCs w:val="22"/>
        </w:rPr>
        <w:t xml:space="preserve"> (pip-installable NSS).</w:t>
      </w:r>
    </w:p>
    <w:p>
      <w:pPr>
        <w:pStyle w:val="Heading1"/>
      </w:pPr>
      <w:r>
        <w:t xml:space="preserve">4. Stage 2 — Daily Macro Baseline (Context, Not the Differencing Target)</w:t>
      </w:r>
    </w:p>
    <w:p>
      <w:pPr>
        <w:spacing w:after="120" w:line="276"/>
      </w:pPr>
      <w:r>
        <w:rPr>
          <w:rFonts w:ascii="Calibri" w:cs="Calibri" w:eastAsia="Calibri" w:hAnsi="Calibri"/>
          <w:sz w:val="22"/>
          <w:szCs w:val="22"/>
        </w:rPr>
        <w:t xml:space="preserve">A slowly-varying “fair value” anchor regresses the daily long-bond curve factors on a macro state vector m_d (inflation, activity, policy expectations, financial-conditions proxies):</w:t>
      </w:r>
    </w:p>
    <w:p>
      <w:pPr>
        <w:spacing w:after="140" w:before="80"/>
        <w:jc w:val="center"/>
      </w:pPr>
      <w:r>
        <w:rPr>
          <w:rFonts w:ascii="Consolas" w:cs="Consolas" w:eastAsia="Consolas" w:hAnsi="Consolas"/>
          <w:i w:val="false"/>
          <w:iCs w:val="false"/>
          <w:sz w:val="21"/>
          <w:szCs w:val="21"/>
        </w:rPr>
        <w:t xml:space="preserve">y_d(30) = φ₀ + φᵀ m_d + u_d ,   macro_resid_d = u_d</w:t>
      </w:r>
    </w:p>
    <w:p>
      <w:pPr>
        <w:spacing w:after="120" w:line="276"/>
      </w:pPr>
      <w:r>
        <w:rPr>
          <w:rFonts w:ascii="Calibri" w:cs="Calibri" w:eastAsia="Calibri" w:hAnsi="Calibri"/>
          <w:sz w:val="22"/>
          <w:szCs w:val="22"/>
        </w:rPr>
        <w:t xml:space="preserve">This is the reduced-form sibling of macro-affine term-structure models, in which yields are affine in macro and latent factors (</w:t>
      </w:r>
      <w:hyperlink w:history="1" r:id="rIdcsafw1twrvjza88wzrke1">
        <w:r>
          <w:rPr>
            <w:rStyle w:val="Hyperlink"/>
            <w:rFonts w:ascii="Calibri" w:cs="Calibri" w:eastAsia="Calibri" w:hAnsi="Calibri"/>
            <w:sz w:val="22"/>
            <w:szCs w:val="22"/>
          </w:rPr>
          <w:t xml:space="preserve">Ang &amp; Piazzesi 2003</w:t>
        </w:r>
      </w:hyperlink>
      <w:r>
        <w:rPr>
          <w:rFonts w:ascii="Calibri" w:cs="Calibri" w:eastAsia="Calibri" w:hAnsi="Calibri"/>
          <w:sz w:val="22"/>
          <w:szCs w:val="22"/>
        </w:rPr>
        <w:t xml:space="preserve">, JME 50(4):745–787; </w:t>
      </w:r>
      <w:hyperlink w:history="1" r:id="rIdcnh9bnwhi2pj1ortbr8hj">
        <w:r>
          <w:rPr>
            <w:rStyle w:val="Hyperlink"/>
            <w:rFonts w:ascii="Calibri" w:cs="Calibri" w:eastAsia="Calibri" w:hAnsi="Calibri"/>
            <w:sz w:val="22"/>
            <w:szCs w:val="22"/>
          </w:rPr>
          <w:t xml:space="preserve">Diebold, Rudebusch &amp; Aruoba 2006</w:t>
        </w:r>
      </w:hyperlink>
      <w:r>
        <w:rPr>
          <w:rFonts w:ascii="Calibri" w:cs="Calibri" w:eastAsia="Calibri" w:hAnsi="Calibri"/>
          <w:sz w:val="22"/>
          <w:szCs w:val="22"/>
        </w:rPr>
        <w:t xml:space="preserve">). For term-premium decomposition, the three-step regression approach of </w:t>
      </w:r>
      <w:hyperlink w:history="1" r:id="rIdw0s3fiilzzhphnlchunfk">
        <w:r>
          <w:rPr>
            <w:rStyle w:val="Hyperlink"/>
            <w:rFonts w:ascii="Calibri" w:cs="Calibri" w:eastAsia="Calibri" w:hAnsi="Calibri"/>
            <w:sz w:val="22"/>
            <w:szCs w:val="22"/>
          </w:rPr>
          <w:t xml:space="preserve">Adrian, Crump &amp; Moench 2013</w:t>
        </w:r>
      </w:hyperlink>
      <w:r>
        <w:rPr>
          <w:rFonts w:ascii="Calibri" w:cs="Calibri" w:eastAsia="Calibri" w:hAnsi="Calibri"/>
          <w:sz w:val="22"/>
          <w:szCs w:val="22"/>
        </w:rPr>
        <w:t xml:space="preserve"> (JFE 110:110–138; FRBNY Staff Report 340) is computationally fast and PCA-based. Because macro data are low-frequency, this is a </w:t>
      </w:r>
      <w:r>
        <w:rPr>
          <w:rFonts w:ascii="Calibri" w:cs="Calibri" w:eastAsia="Calibri" w:hAnsi="Calibri"/>
          <w:i/>
          <w:iCs/>
          <w:sz w:val="22"/>
          <w:szCs w:val="22"/>
        </w:rPr>
        <w:t xml:space="preserve">daily</w:t>
      </w:r>
      <w:r>
        <w:rPr>
          <w:rFonts w:ascii="Calibri" w:cs="Calibri" w:eastAsia="Calibri" w:hAnsi="Calibri"/>
          <w:sz w:val="22"/>
          <w:szCs w:val="22"/>
        </w:rPr>
        <w:t xml:space="preserve"> anchor and a contextual feature — not the object the intraday residual is differenced against (that is the per-minute cross-sectional fit of Stage 1).</w:t>
      </w:r>
    </w:p>
    <w:p>
      <w:pPr>
        <w:pStyle w:val="Heading1"/>
      </w:pPr>
      <w:r>
        <w:t xml:space="preserve">5. Stage 3 — Regime Identification (Hidden Markov Model)</w:t>
      </w:r>
    </w:p>
    <w:p>
      <w:pPr>
        <w:pStyle w:val="Heading2"/>
      </w:pPr>
      <w:r>
        <w:t xml:space="preserve">5.1 Model</w:t>
      </w:r>
    </w:p>
    <w:p>
      <w:pPr>
        <w:spacing w:after="120" w:line="276"/>
      </w:pPr>
      <w:r>
        <w:rPr>
          <w:rFonts w:ascii="Calibri" w:cs="Calibri" w:eastAsia="Calibri" w:hAnsi="Calibri"/>
          <w:sz w:val="22"/>
          <w:szCs w:val="22"/>
        </w:rPr>
        <w:t xml:space="preserve">Treat the per-day micro-factor path as emissions of a latent regime Sₜ ∈ {1,…,K} (default K = 3). With Gaussian emissions:</w:t>
      </w:r>
    </w:p>
    <w:p>
      <w:pPr>
        <w:spacing w:after="140" w:before="80"/>
        <w:jc w:val="center"/>
      </w:pPr>
      <w:r>
        <w:rPr>
          <w:rFonts w:ascii="Consolas" w:cs="Consolas" w:eastAsia="Consolas" w:hAnsi="Consolas"/>
          <w:i w:val="false"/>
          <w:iCs w:val="false"/>
          <w:sz w:val="21"/>
          <w:szCs w:val="21"/>
        </w:rPr>
        <w:t xml:space="preserve">P(Sₜ=j | Sₜ₋₁=i) = Aᵢⱼ ,   xₜ | (Sₜ=k) ~ N(μₖ, Σₖ) ,   P(S₁=k) = πₖ</w:t>
      </w:r>
    </w:p>
    <w:p>
      <w:pPr>
        <w:spacing w:after="120" w:line="276"/>
      </w:pPr>
      <w:r>
        <w:rPr>
          <w:rFonts w:ascii="Calibri" w:cs="Calibri" w:eastAsia="Calibri" w:hAnsi="Calibri"/>
          <w:sz w:val="22"/>
          <w:szCs w:val="22"/>
        </w:rPr>
        <w:t xml:space="preserve">with xₜ the micro factor (optionally augmented with Noiseₜ and short-window realised volatility). Parameters λ = (A, {μₖ, Σₖ}, π) are estimated by the Baum–Welch (EM) algorithm (</w:t>
      </w:r>
      <w:hyperlink w:history="1" r:id="rIdmosz8dcq5guileouw00mb">
        <w:r>
          <w:rPr>
            <w:rStyle w:val="Hyperlink"/>
            <w:rFonts w:ascii="Calibri" w:cs="Calibri" w:eastAsia="Calibri" w:hAnsi="Calibri"/>
            <w:sz w:val="22"/>
            <w:szCs w:val="22"/>
          </w:rPr>
          <w:t xml:space="preserve">Rabiner 1989</w:t>
        </w:r>
      </w:hyperlink>
      <w:r>
        <w:rPr>
          <w:rFonts w:ascii="Calibri" w:cs="Calibri" w:eastAsia="Calibri" w:hAnsi="Calibri"/>
          <w:sz w:val="22"/>
          <w:szCs w:val="22"/>
        </w:rPr>
        <w:t xml:space="preserve">).</w:t>
      </w:r>
    </w:p>
    <w:p>
      <w:pPr>
        <w:pStyle w:val="Heading2"/>
      </w:pPr>
      <w:r>
        <w:t xml:space="preserve">5.2 Pooled estimation across auctions</w:t>
      </w:r>
    </w:p>
    <w:p>
      <w:pPr>
        <w:spacing w:after="120" w:line="276"/>
      </w:pPr>
      <w:r>
        <w:rPr>
          <w:rFonts w:ascii="Calibri" w:cs="Calibri" w:eastAsia="Calibri" w:hAnsi="Calibri"/>
          <w:sz w:val="22"/>
          <w:szCs w:val="22"/>
        </w:rPr>
        <w:t xml:space="preserve">To make regime labels comparable across all ~220 auctions, fit one global HMM on the pooled set of per-day sequences. With sequences indexed by auction a, the objective is additive:</w:t>
      </w:r>
    </w:p>
    <w:p>
      <w:pPr>
        <w:spacing w:after="140" w:before="80"/>
        <w:jc w:val="center"/>
      </w:pPr>
      <w:r>
        <w:rPr>
          <w:rFonts w:ascii="Consolas" w:cs="Consolas" w:eastAsia="Consolas" w:hAnsi="Consolas"/>
          <w:i w:val="false"/>
          <w:iCs w:val="false"/>
          <w:sz w:val="21"/>
          <w:szCs w:val="21"/>
        </w:rPr>
        <w:t xml:space="preserve">Σ_a  log P( x₍ᵃ₎₁:T_a | λ )</w:t>
      </w:r>
    </w:p>
    <w:p>
      <w:pPr>
        <w:spacing w:after="120" w:line="276"/>
      </w:pPr>
      <w:r>
        <w:rPr>
          <w:rFonts w:ascii="Calibri" w:cs="Calibri" w:eastAsia="Calibri" w:hAnsi="Calibri"/>
          <w:sz w:val="22"/>
          <w:szCs w:val="22"/>
        </w:rPr>
        <w:t xml:space="preserve">implemented by passing the per-day lengths {T_a} (the hmmlearn “lengths” argument). Per-auction sequential fitting is avoided because label identities are not comparable across independent fits (label switching).</w:t>
      </w:r>
    </w:p>
    <w:p>
      <w:pPr>
        <w:pStyle w:val="Heading2"/>
      </w:pPr>
      <w:r>
        <w:t xml:space="preserve">5.3 Filtered vs. smoothed — the leakage boundary</w:t>
      </w:r>
    </w:p>
    <w:p>
      <w:pPr>
        <w:spacing w:after="120" w:line="276"/>
      </w:pPr>
      <w:r>
        <w:rPr>
          <w:rFonts w:ascii="Calibri" w:cs="Calibri" w:eastAsia="Calibri" w:hAnsi="Calibri"/>
          <w:sz w:val="22"/>
          <w:szCs w:val="22"/>
        </w:rPr>
        <w:t xml:space="preserve">Filtered (real-time, leakage-safe): αₜ(k) = P(Sₜ=k | x₁:ₜ). Smoothed (full-sample, descriptive only): γₜ(k) = P(Sₜ=k | x₁:T). </w:t>
      </w:r>
      <w:r>
        <w:rPr>
          <w:rFonts w:ascii="Calibri" w:cs="Calibri" w:eastAsia="Calibri" w:hAnsi="Calibri"/>
          <w:b/>
          <w:bCs/>
          <w:sz w:val="22"/>
          <w:szCs w:val="22"/>
        </w:rPr>
        <w:t xml:space="preserve">Any feature feeding a predictive model uses filtered probabilities; smoothed probabilities enter descriptive and event-study exhibits only.</w:t>
      </w:r>
    </w:p>
    <w:p>
      <w:pPr>
        <w:pStyle w:val="Heading2"/>
      </w:pPr>
      <w:r>
        <w:t xml:space="preserve">5.4 Within-day robustness: Markov-switching AR</w:t>
      </w:r>
    </w:p>
    <w:p>
      <w:pPr>
        <w:spacing w:after="120" w:line="276"/>
      </w:pPr>
      <w:r>
        <w:rPr>
          <w:rFonts w:ascii="Calibri" w:cs="Calibri" w:eastAsia="Calibri" w:hAnsi="Calibri"/>
          <w:sz w:val="22"/>
          <w:szCs w:val="22"/>
        </w:rPr>
        <w:t xml:space="preserve">As a robustness check on the continuous tape, a </w:t>
      </w:r>
      <w:hyperlink w:history="1" r:id="rIdjldvcxbyebs3xw_zo_c0_">
        <w:r>
          <w:rPr>
            <w:rStyle w:val="Hyperlink"/>
            <w:rFonts w:ascii="Calibri" w:cs="Calibri" w:eastAsia="Calibri" w:hAnsi="Calibri"/>
            <w:sz w:val="22"/>
            <w:szCs w:val="22"/>
          </w:rPr>
          <w:t xml:space="preserve">Hamilton (1989)</w:t>
        </w:r>
      </w:hyperlink>
      <w:r>
        <w:rPr>
          <w:rFonts w:ascii="Calibri" w:cs="Calibri" w:eastAsia="Calibri" w:hAnsi="Calibri"/>
          <w:sz w:val="22"/>
          <w:szCs w:val="22"/>
        </w:rPr>
        <w:t xml:space="preserve"> Markov-switching autoregression (statsmodels MarkovAutoregression):</w:t>
      </w:r>
    </w:p>
    <w:p>
      <w:pPr>
        <w:spacing w:after="140" w:before="80"/>
        <w:jc w:val="center"/>
      </w:pPr>
      <w:r>
        <w:rPr>
          <w:rFonts w:ascii="Consolas" w:cs="Consolas" w:eastAsia="Consolas" w:hAnsi="Consolas"/>
          <w:i w:val="false"/>
          <w:iCs w:val="false"/>
          <w:sz w:val="21"/>
          <w:szCs w:val="21"/>
        </w:rPr>
        <w:t xml:space="preserve">xₜ = c_{Sₜ} + Σ_p φ_{p,Sₜ} xₜ₋_p + σ_{Sₜ} εₜ ,   εₜ ~ N(0,1)</w:t>
      </w:r>
    </w:p>
    <w:p>
      <w:pPr>
        <w:spacing w:after="120" w:line="276"/>
      </w:pPr>
      <w:r>
        <w:rPr>
          <w:rFonts w:ascii="Calibri" w:cs="Calibri" w:eastAsia="Calibri" w:hAnsi="Calibri"/>
          <w:sz w:val="22"/>
          <w:szCs w:val="22"/>
        </w:rPr>
        <w:t xml:space="preserve">Code reference: </w:t>
      </w:r>
      <w:hyperlink w:history="1" r:id="rIdgupeb3sqekizypkkxice4">
        <w:r>
          <w:rPr>
            <w:rStyle w:val="Hyperlink"/>
            <w:rFonts w:ascii="Calibri" w:cs="Calibri" w:eastAsia="Calibri" w:hAnsi="Calibri"/>
            <w:sz w:val="22"/>
            <w:szCs w:val="22"/>
          </w:rPr>
          <w:t xml:space="preserve">alamgirhossain-tech/Markov-Switch-Regime-Analysis</w:t>
        </w:r>
      </w:hyperlink>
      <w:r>
        <w:rPr>
          <w:rFonts w:ascii="Calibri" w:cs="Calibri" w:eastAsia="Calibri" w:hAnsi="Calibri"/>
          <w:sz w:val="22"/>
          <w:szCs w:val="22"/>
        </w:rPr>
        <w:t xml:space="preserve"> (MS-AR labelling → Random Forest prediction).</w:t>
      </w:r>
    </w:p>
    <w:p>
      <w:pPr>
        <w:pStyle w:val="Heading1"/>
      </w:pPr>
      <w:r>
        <w:t xml:space="preserve">6. Stage 4 — Auction-Level Feature Construction</w:t>
      </w:r>
    </w:p>
    <w:p>
      <w:pPr>
        <w:spacing w:after="120" w:line="276"/>
      </w:pPr>
      <w:r>
        <w:rPr>
          <w:rFonts w:ascii="Calibri" w:cs="Calibri" w:eastAsia="Calibri" w:hAnsi="Calibri"/>
          <w:sz w:val="22"/>
          <w:szCs w:val="22"/>
        </w:rPr>
        <w:t xml:space="preserve">Collapse the intraday substrate to one row per auction. Micro-factor path statistics:</w:t>
      </w:r>
    </w:p>
    <w:p>
      <w:pPr>
        <w:spacing w:after="140" w:before="80"/>
        <w:jc w:val="center"/>
      </w:pPr>
      <w:r>
        <w:rPr>
          <w:rFonts w:ascii="Consolas" w:cs="Consolas" w:eastAsia="Consolas" w:hAnsi="Consolas"/>
          <w:i w:val="false"/>
          <w:iCs w:val="false"/>
          <w:sz w:val="21"/>
          <w:szCs w:val="21"/>
        </w:rPr>
        <w:t xml:space="preserve">micro_eod = x_close ;  drift = x_close − x_13:00 ;  max_dev = maxₜ|xₜ| ;  vol_post = sd(xₜ)_{t&gt;13:00}</w:t>
      </w:r>
    </w:p>
    <w:p>
      <w:pPr>
        <w:spacing w:after="120" w:line="276"/>
      </w:pPr>
      <w:r>
        <w:rPr>
          <w:rFonts w:ascii="Calibri" w:cs="Calibri" w:eastAsia="Calibri" w:hAnsi="Calibri"/>
          <w:sz w:val="22"/>
          <w:szCs w:val="22"/>
        </w:rPr>
        <w:t xml:space="preserve">Regime features: end-of-day state, the pre→post transition across 13:00, filtered α_close(k), and minutes held in the terminal post-auction regime. Auction-result block (Bloomberg, timed at/after 13:00): tail = stop − when-issued, bid-to-cover, indirect/direct/dealer takedown, issue size, when-issued vs. on-the-run concession. Context: MOVE, VIX, macro surprise, end-of-day level/slope/curvature, macro_resid_d.</w:t>
      </w:r>
    </w:p>
    <w:p>
      <w:pPr>
        <w:pStyle w:val="Heading1"/>
      </w:pPr>
      <w:r>
        <w:t xml:space="preserve">7. Stage 5 — Targets: Curve Decomposition</w:t>
      </w:r>
    </w:p>
    <w:p>
      <w:pPr>
        <w:spacing w:after="120" w:line="276"/>
      </w:pPr>
      <w:r>
        <w:rPr>
          <w:rFonts w:ascii="Calibri" w:cs="Calibri" w:eastAsia="Calibri" w:hAnsi="Calibri"/>
          <w:sz w:val="22"/>
          <w:szCs w:val="22"/>
        </w:rPr>
        <w:t xml:space="preserve">Decompose curve changes via PCA (</w:t>
      </w:r>
      <w:hyperlink w:history="1" r:id="rIdg5fq57gorh9j9es1mzqof">
        <w:r>
          <w:rPr>
            <w:rStyle w:val="Hyperlink"/>
            <w:rFonts w:ascii="Calibri" w:cs="Calibri" w:eastAsia="Calibri" w:hAnsi="Calibri"/>
            <w:sz w:val="22"/>
            <w:szCs w:val="22"/>
          </w:rPr>
          <w:t xml:space="preserve">Litterman &amp; Scheinkman 1991</w:t>
        </w:r>
      </w:hyperlink>
      <w:r>
        <w:rPr>
          <w:rFonts w:ascii="Calibri" w:cs="Calibri" w:eastAsia="Calibri" w:hAnsi="Calibri"/>
          <w:sz w:val="22"/>
          <w:szCs w:val="22"/>
        </w:rPr>
        <w:t xml:space="preserve">). With ΔY the matrix of daily yield changes and Σ = cov(ΔY) = VΛVᵀ, the first three principal components correspond to level, slope, and curvature. Factor scores F = ΔY·V[:,1:3]. </w:t>
      </w:r>
      <w:r>
        <w:rPr>
          <w:rFonts w:ascii="Calibri" w:cs="Calibri" w:eastAsia="Calibri" w:hAnsi="Calibri"/>
          <w:b/>
          <w:bCs/>
          <w:sz w:val="22"/>
          <w:szCs w:val="22"/>
        </w:rPr>
        <w:t xml:space="preserve">The basis V is estimated on training data only within each fold.</w:t>
      </w:r>
    </w:p>
    <w:p>
      <w:pPr>
        <w:spacing w:after="120" w:line="276"/>
      </w:pPr>
      <w:r>
        <w:rPr>
          <w:rFonts w:ascii="Calibri" w:cs="Calibri" w:eastAsia="Calibri" w:hAnsi="Calibri"/>
          <w:sz w:val="22"/>
          <w:szCs w:val="22"/>
        </w:rPr>
        <w:t xml:space="preserve">Forecast targets (close-to-close, h = 1): ΔLevel, ΔSlope, ΔCurvature, and raw Δy(30).</w:t>
      </w:r>
    </w:p>
    <w:p>
      <w:pPr>
        <w:pStyle w:val="Heading1"/>
      </w:pPr>
      <w:r>
        <w:t xml:space="preserve">8. Stage 6 — Forecast Model</w:t>
      </w:r>
    </w:p>
    <w:p>
      <w:pPr>
        <w:spacing w:after="120" w:line="276"/>
      </w:pPr>
      <w:r>
        <w:rPr>
          <w:rFonts w:ascii="Calibri" w:cs="Calibri" w:eastAsia="Calibri" w:hAnsi="Calibri"/>
          <w:sz w:val="22"/>
          <w:szCs w:val="22"/>
        </w:rPr>
        <w:t xml:space="preserve">A Random Forest regressor (</w:t>
      </w:r>
      <w:hyperlink w:history="1" r:id="rIdsue6x7_vhvkget1onpgn6">
        <w:r>
          <w:rPr>
            <w:rStyle w:val="Hyperlink"/>
            <w:rFonts w:ascii="Calibri" w:cs="Calibri" w:eastAsia="Calibri" w:hAnsi="Calibri"/>
            <w:sz w:val="22"/>
            <w:szCs w:val="22"/>
          </w:rPr>
          <w:t xml:space="preserve">Breiman 2001</w:t>
        </w:r>
      </w:hyperlink>
      <w:r>
        <w:rPr>
          <w:rFonts w:ascii="Calibri" w:cs="Calibri" w:eastAsia="Calibri" w:hAnsi="Calibri"/>
          <w:sz w:val="22"/>
          <w:szCs w:val="22"/>
        </w:rPr>
        <w:t xml:space="preserve">, DOI 10.1023/A:1010933404324): bootstrap-aggregated regression trees with random feature subsampling at each split; prediction = (1/B)·Σ_b T_b(x). Given N ≈ 220, constrain depth (≤ 4) and leaf size (≥ 5). Report permutation importance (preferred over mean-decrease-in-impurity under correlated rate features) — the desk-facing question is whether the tail and the pre→post regime transition carry forward signal.</w:t>
      </w:r>
    </w:p>
    <w:p>
      <w:pPr>
        <w:spacing w:after="120" w:line="276"/>
      </w:pPr>
      <w:r>
        <w:rPr>
          <w:rFonts w:ascii="Calibri" w:cs="Calibri" w:eastAsia="Calibri" w:hAnsi="Calibri"/>
          <w:sz w:val="22"/>
          <w:szCs w:val="22"/>
        </w:rPr>
        <w:t xml:space="preserve">Benchmark: a transparent regime-conditional mean (the average next-day move among training auctions that closed in the same regime). The Random Forest must beat this conditional expectation to justify its complexity.</w:t>
      </w:r>
    </w:p>
    <w:p>
      <w:pPr>
        <w:pStyle w:val="Heading1"/>
      </w:pPr>
      <w:r>
        <w:t xml:space="preserve">9. Stage 7a — Influence Decay (Local Projections)</w:t>
      </w:r>
    </w:p>
    <w:p>
      <w:pPr>
        <w:spacing w:after="120" w:line="276"/>
      </w:pPr>
      <w:r>
        <w:rPr>
          <w:rFonts w:ascii="Calibri" w:cs="Calibri" w:eastAsia="Calibri" w:hAnsi="Calibri"/>
          <w:sz w:val="22"/>
          <w:szCs w:val="22"/>
        </w:rPr>
        <w:t xml:space="preserve">Estimate the auction’s impulse response directly (</w:t>
      </w:r>
      <w:hyperlink w:history="1" r:id="rIdvkqwkumyxh711zlxeo8ix">
        <w:r>
          <w:rPr>
            <w:rStyle w:val="Hyperlink"/>
            <w:rFonts w:ascii="Calibri" w:cs="Calibri" w:eastAsia="Calibri" w:hAnsi="Calibri"/>
            <w:sz w:val="22"/>
            <w:szCs w:val="22"/>
          </w:rPr>
          <w:t xml:space="preserve">Jordà 2005</w:t>
        </w:r>
      </w:hyperlink>
      <w:r>
        <w:rPr>
          <w:rFonts w:ascii="Calibri" w:cs="Calibri" w:eastAsia="Calibri" w:hAnsi="Calibri"/>
          <w:sz w:val="22"/>
          <w:szCs w:val="22"/>
        </w:rPr>
        <w:t xml:space="preserve">, AER 95(1):161–182, DOI 10.1257/0002828053828518). For h = 0,1,…,H:</w:t>
      </w:r>
    </w:p>
    <w:p>
      <w:pPr>
        <w:spacing w:after="140" w:before="80"/>
        <w:jc w:val="center"/>
      </w:pPr>
      <w:r>
        <w:rPr>
          <w:rFonts w:ascii="Consolas" w:cs="Consolas" w:eastAsia="Consolas" w:hAnsi="Consolas"/>
          <w:i w:val="false"/>
          <w:iCs w:val="false"/>
          <w:sz w:val="21"/>
          <w:szCs w:val="21"/>
        </w:rPr>
        <w:t xml:space="preserve">yₜ₊ₕ − yₜ = αₕ + βₕ·shockₜ + γₕᵀ·controlsₜ + εₜ₊ₕ</w:t>
      </w:r>
    </w:p>
    <w:p>
      <w:pPr>
        <w:spacing w:after="120" w:line="276"/>
      </w:pPr>
      <w:r>
        <w:rPr>
          <w:rFonts w:ascii="Calibri" w:cs="Calibri" w:eastAsia="Calibri" w:hAnsi="Calibri"/>
          <w:sz w:val="22"/>
          <w:szCs w:val="22"/>
        </w:rPr>
        <w:t xml:space="preserve">where shockₜ is the standardised auction dislocation (e.g., tail or post-auction drift). The coefficient path {βₕ} is the impulse response — the auction’s influence over time. Use Newey–West (HAC) standard errors, since overlapping windows induce serial correlation. Summarise persistence by fitting an exponential and reporting the half-life:</w:t>
      </w:r>
    </w:p>
    <w:p>
      <w:pPr>
        <w:spacing w:after="140" w:before="80"/>
        <w:jc w:val="center"/>
      </w:pPr>
      <w:r>
        <w:rPr>
          <w:rFonts w:ascii="Consolas" w:cs="Consolas" w:eastAsia="Consolas" w:hAnsi="Consolas"/>
          <w:i w:val="false"/>
          <w:iCs w:val="false"/>
          <w:sz w:val="21"/>
          <w:szCs w:val="21"/>
        </w:rPr>
        <w:t xml:space="preserve">βₕ ≈ β₀·e^(−h/τ)   ⇒   t½ = τ·ln 2   (business days)</w:t>
      </w:r>
    </w:p>
    <w:p>
      <w:pPr>
        <w:spacing w:after="120" w:line="276"/>
      </w:pPr>
      <w:r>
        <w:rPr>
          <w:rFonts w:ascii="Calibri" w:cs="Calibri" w:eastAsia="Calibri" w:hAnsi="Calibri"/>
          <w:sz w:val="22"/>
          <w:szCs w:val="22"/>
        </w:rPr>
        <w:t xml:space="preserve">The reversal prior — that the auction concession unwinds over subsequent days — is documented by </w:t>
      </w:r>
      <w:hyperlink w:history="1" r:id="rIdadnjqiyjd2zaaa3a8m309">
        <w:r>
          <w:rPr>
            <w:rStyle w:val="Hyperlink"/>
            <w:rFonts w:ascii="Calibri" w:cs="Calibri" w:eastAsia="Calibri" w:hAnsi="Calibri"/>
            <w:sz w:val="22"/>
            <w:szCs w:val="22"/>
          </w:rPr>
          <w:t xml:space="preserve">Lou, Yan &amp; Zhang 2013</w:t>
        </w:r>
      </w:hyperlink>
      <w:r>
        <w:rPr>
          <w:rFonts w:ascii="Calibri" w:cs="Calibri" w:eastAsia="Calibri" w:hAnsi="Calibri"/>
          <w:sz w:val="22"/>
          <w:szCs w:val="22"/>
        </w:rPr>
        <w:t xml:space="preserve"> (RFS 26(8):1891–1912). Optionally estimate {βₕ} per regime to reveal state-dependent persistence.</w:t>
      </w:r>
    </w:p>
    <w:p>
      <w:pPr>
        <w:pStyle w:val="Heading1"/>
      </w:pPr>
      <w:r>
        <w:t xml:space="preserve">10. Stage 7b — Validation</w:t>
      </w:r>
    </w:p>
    <w:p>
      <w:pPr>
        <w:pStyle w:val="ListParagraph"/>
        <w:numPr>
          <w:ilvl w:val="0"/>
          <w:numId w:val="2"/>
        </w:numPr>
        <w:spacing w:after="80"/>
      </w:pPr>
      <w:r>
        <w:rPr>
          <w:rFonts w:ascii="Calibri" w:cs="Calibri" w:eastAsia="Calibri" w:hAnsi="Calibri"/>
          <w:b/>
          <w:bCs/>
          <w:sz w:val="22"/>
          <w:szCs w:val="22"/>
        </w:rPr>
        <w:t xml:space="preserve">h = 1 forecast: </w:t>
      </w:r>
      <w:r>
        <w:rPr>
          <w:rFonts w:ascii="Calibri" w:cs="Calibri" w:eastAsia="Calibri" w:hAnsi="Calibri"/>
          <w:sz w:val="22"/>
          <w:szCs w:val="22"/>
        </w:rPr>
        <w:t xml:space="preserve">expanding-window walk-forward. Non-overlapping one-day targets on a roughly monthly auction schedule mean label overlap is not the binding leakage channel here.</w:t>
      </w:r>
    </w:p>
    <w:p>
      <w:pPr>
        <w:pStyle w:val="ListParagraph"/>
        <w:numPr>
          <w:ilvl w:val="0"/>
          <w:numId w:val="2"/>
        </w:numPr>
        <w:spacing w:after="80"/>
      </w:pPr>
      <w:r>
        <w:rPr>
          <w:rFonts w:ascii="Calibri" w:cs="Calibri" w:eastAsia="Calibri" w:hAnsi="Calibri"/>
          <w:b/>
          <w:bCs/>
          <w:sz w:val="22"/>
          <w:szCs w:val="22"/>
        </w:rPr>
        <w:t xml:space="preserve">Decay layer: </w:t>
      </w:r>
      <w:r>
        <w:rPr>
          <w:rFonts w:ascii="Calibri" w:cs="Calibri" w:eastAsia="Calibri" w:hAnsi="Calibri"/>
          <w:sz w:val="22"/>
          <w:szCs w:val="22"/>
        </w:rPr>
        <w:t xml:space="preserve">horizons overlap, so use purged + embargoed cross-validation (</w:t>
      </w:r>
      <w:hyperlink w:history="1" r:id="rId83sn9hkkqk8xd9smn8yu9">
        <w:r>
          <w:rPr>
            <w:rStyle w:val="Hyperlink"/>
            <w:rFonts w:ascii="Calibri" w:cs="Calibri" w:eastAsia="Calibri" w:hAnsi="Calibri"/>
            <w:sz w:val="22"/>
            <w:szCs w:val="22"/>
          </w:rPr>
          <w:t xml:space="preserve">López de Prado 2018</w:t>
        </w:r>
      </w:hyperlink>
      <w:r>
        <w:rPr>
          <w:rFonts w:ascii="Calibri" w:cs="Calibri" w:eastAsia="Calibri" w:hAnsi="Calibri"/>
          <w:sz w:val="22"/>
          <w:szCs w:val="22"/>
        </w:rPr>
        <w:t xml:space="preserve">, Advances in Financial Machine Learning, ch. 7 &amp; 12). Purge from training any observation whose label window intersects the test labels; embargo a buffer ≥ H after each test fold.</w:t>
      </w:r>
    </w:p>
    <w:p>
      <w:pPr>
        <w:pStyle w:val="ListParagraph"/>
        <w:numPr>
          <w:ilvl w:val="0"/>
          <w:numId w:val="2"/>
        </w:numPr>
        <w:spacing w:after="80"/>
      </w:pPr>
      <w:r>
        <w:rPr>
          <w:rFonts w:ascii="Calibri" w:cs="Calibri" w:eastAsia="Calibri" w:hAnsi="Calibri"/>
          <w:b/>
          <w:bCs/>
          <w:sz w:val="22"/>
          <w:szCs w:val="22"/>
        </w:rPr>
        <w:t xml:space="preserve">Surviving leakage channel (all horizons): </w:t>
      </w:r>
      <w:r>
        <w:rPr>
          <w:rFonts w:ascii="Calibri" w:cs="Calibri" w:eastAsia="Calibri" w:hAnsi="Calibri"/>
          <w:sz w:val="22"/>
          <w:szCs w:val="22"/>
        </w:rPr>
        <w:t xml:space="preserve">the PCA basis, the macro regression, and the HMM are all data-fit and must be re-estimated train-only inside every fold.</w:t>
      </w:r>
    </w:p>
    <w:p>
      <w:pPr>
        <w:pStyle w:val="ListParagraph"/>
        <w:numPr>
          <w:ilvl w:val="0"/>
          <w:numId w:val="2"/>
        </w:numPr>
        <w:spacing w:after="80"/>
      </w:pPr>
      <w:r>
        <w:rPr>
          <w:rFonts w:ascii="Calibri" w:cs="Calibri" w:eastAsia="Calibri" w:hAnsi="Calibri"/>
          <w:b/>
          <w:bCs/>
          <w:sz w:val="22"/>
          <w:szCs w:val="22"/>
        </w:rPr>
        <w:t xml:space="preserve">Model-independent check: </w:t>
      </w:r>
      <w:r>
        <w:rPr>
          <w:rFonts w:ascii="Calibri" w:cs="Calibri" w:eastAsia="Calibri" w:hAnsi="Calibri"/>
          <w:sz w:val="22"/>
          <w:szCs w:val="22"/>
        </w:rPr>
        <w:t xml:space="preserve">an event study of the mean micro factor by event-minute across auctions confirms the dislocation is real and not a classifier artifact.</w:t>
      </w:r>
    </w:p>
    <w:p>
      <w:pPr>
        <w:spacing w:after="120" w:line="276"/>
      </w:pPr>
      <w:r>
        <w:rPr>
          <w:rFonts w:ascii="Calibri" w:cs="Calibri" w:eastAsia="Calibri" w:hAnsi="Calibri"/>
          <w:sz w:val="22"/>
          <w:szCs w:val="22"/>
        </w:rPr>
        <w:t xml:space="preserve">Code reference: </w:t>
      </w:r>
      <w:hyperlink w:history="1" r:id="rId1ddvvq5suipgbg_cw79x3">
        <w:r>
          <w:rPr>
            <w:rStyle w:val="Hyperlink"/>
            <w:rFonts w:ascii="Calibri" w:cs="Calibri" w:eastAsia="Calibri" w:hAnsi="Calibri"/>
            <w:sz w:val="22"/>
            <w:szCs w:val="22"/>
          </w:rPr>
          <w:t xml:space="preserve">hudson-and-thames/mlfinlab</w:t>
        </w:r>
      </w:hyperlink>
      <w:r>
        <w:rPr>
          <w:rFonts w:ascii="Calibri" w:cs="Calibri" w:eastAsia="Calibri" w:hAnsi="Calibri"/>
          <w:sz w:val="22"/>
          <w:szCs w:val="22"/>
        </w:rPr>
        <w:t xml:space="preserve"> (PurgedKFold, CombinatorialPurgedKFold). If the package mirror blocks it, PurgedKFold is roughly 80 lines reconstructable from the source.</w:t>
      </w:r>
    </w:p>
    <w:p>
      <w:pPr>
        <w:pStyle w:val="Heading1"/>
      </w:pPr>
      <w:r>
        <w:t xml:space="preserve">11. Implementation and Engineering Notes</w:t>
      </w:r>
    </w:p>
    <w:p>
      <w:pPr>
        <w:pStyle w:val="ListParagraph"/>
        <w:numPr>
          <w:ilvl w:val="0"/>
          <w:numId w:val="2"/>
        </w:numPr>
        <w:spacing w:after="80"/>
      </w:pPr>
      <w:r>
        <w:rPr>
          <w:rFonts w:ascii="Calibri" w:cs="Calibri" w:eastAsia="Calibri" w:hAnsi="Calibri"/>
          <w:b/>
          <w:bCs/>
          <w:sz w:val="22"/>
          <w:szCs w:val="22"/>
        </w:rPr>
        <w:t xml:space="preserve">Assembly: </w:t>
      </w:r>
      <w:r>
        <w:rPr>
          <w:rFonts w:ascii="Calibri" w:cs="Calibri" w:eastAsia="Calibri" w:hAnsi="Calibri"/>
          <w:sz w:val="22"/>
          <w:szCs w:val="22"/>
        </w:rPr>
        <w:t xml:space="preserve">Polars (lazy: scan_parquet → filter → group_by → collect); convert to pandas at the modelling boundary, since statsmodels, scikit-learn, and hmmlearn expect pandas/NumPy.</w:t>
      </w:r>
    </w:p>
    <w:p>
      <w:pPr>
        <w:pStyle w:val="ListParagraph"/>
        <w:numPr>
          <w:ilvl w:val="0"/>
          <w:numId w:val="2"/>
        </w:numPr>
        <w:spacing w:after="80"/>
      </w:pPr>
      <w:r>
        <w:rPr>
          <w:rFonts w:ascii="Calibri" w:cs="Calibri" w:eastAsia="Calibri" w:hAnsi="Calibri"/>
          <w:b/>
          <w:bCs/>
          <w:sz w:val="22"/>
          <w:szCs w:val="22"/>
        </w:rPr>
        <w:t xml:space="preserve">Small-N discipline: </w:t>
      </w:r>
      <w:r>
        <w:rPr>
          <w:rFonts w:ascii="Calibri" w:cs="Calibri" w:eastAsia="Calibri" w:hAnsi="Calibri"/>
          <w:sz w:val="22"/>
          <w:szCs w:val="22"/>
        </w:rPr>
        <w:t xml:space="preserve">~220 auctions; keep the Random Forest shallow; lean on feature importance and the regime baseline. The natural N-multiplier is pooling 2/5/7/10/30-year auctions (~5×) with auction tenor as a feature — engineer for that as a configuration change.</w:t>
      </w:r>
    </w:p>
    <w:p>
      <w:pPr>
        <w:pStyle w:val="ListParagraph"/>
        <w:numPr>
          <w:ilvl w:val="0"/>
          <w:numId w:val="2"/>
        </w:numPr>
        <w:spacing w:after="80"/>
      </w:pPr>
      <w:r>
        <w:rPr>
          <w:rFonts w:ascii="Calibri" w:cs="Calibri" w:eastAsia="Calibri" w:hAnsi="Calibri"/>
          <w:b/>
          <w:bCs/>
          <w:sz w:val="22"/>
          <w:szCs w:val="22"/>
        </w:rPr>
        <w:t xml:space="preserve">Dependency posture: </w:t>
      </w:r>
      <w:r>
        <w:rPr>
          <w:rFonts w:ascii="Calibri" w:cs="Calibri" w:eastAsia="Calibri" w:hAnsi="Calibri"/>
          <w:sz w:val="22"/>
          <w:szCs w:val="22"/>
        </w:rPr>
        <w:t xml:space="preserve">numpy, scipy, pandas, statsmodels, scikit-learn for the core path; polars, hmmlearn, and mlfinlab are optional with graceful fallbacks and likely require an internal package-mirror request.</w:t>
      </w:r>
    </w:p>
    <w:p>
      <w:pPr>
        <w:pStyle w:val="ListParagraph"/>
        <w:numPr>
          <w:ilvl w:val="0"/>
          <w:numId w:val="2"/>
        </w:numPr>
        <w:spacing w:after="80"/>
      </w:pPr>
      <w:r>
        <w:rPr>
          <w:rFonts w:ascii="Calibri" w:cs="Calibri" w:eastAsia="Calibri" w:hAnsi="Calibri"/>
          <w:b/>
          <w:bCs/>
          <w:sz w:val="22"/>
          <w:szCs w:val="22"/>
        </w:rPr>
        <w:t xml:space="preserve">Reproducibility: </w:t>
      </w:r>
      <w:r>
        <w:rPr>
          <w:rFonts w:ascii="Calibri" w:cs="Calibri" w:eastAsia="Calibri" w:hAnsi="Calibri"/>
          <w:sz w:val="22"/>
          <w:szCs w:val="22"/>
        </w:rPr>
        <w:t xml:space="preserve">each pipeline stage persists a cached artifact (parquet); module functions are imported per-fold rather than reading full-sample artifacts, which enforces the leakage discipline structurally.</w:t>
      </w:r>
    </w:p>
    <w:p>
      <w:r>
        <w:br w:type="page"/>
      </w:r>
    </w:p>
    <w:p>
      <w:pPr>
        <w:pStyle w:val="Heading1"/>
      </w:pPr>
      <w:r>
        <w:t xml:space="preserve">12. References</w:t>
      </w:r>
    </w:p>
    <w:p>
      <w:pPr>
        <w:pStyle w:val="ListParagraph"/>
        <w:numPr>
          <w:ilvl w:val="0"/>
          <w:numId w:val="3"/>
        </w:numPr>
        <w:spacing w:after="100"/>
      </w:pPr>
      <w:hyperlink w:history="1" r:id="rIdkqraur80fsgt4af8jnxbh">
        <w:r>
          <w:rPr>
            <w:rStyle w:val="Hyperlink"/>
            <w:rFonts w:ascii="Calibri" w:cs="Calibri" w:eastAsia="Calibri" w:hAnsi="Calibri"/>
            <w:sz w:val="22"/>
            <w:szCs w:val="22"/>
          </w:rPr>
          <w:t xml:space="preserve">Nelson, C. R., &amp; Siegel, A. F. (1987). Parsimonious Modeling of Yield Curves. Journal of Business 60, 473–489.</w:t>
        </w:r>
      </w:hyperlink>
    </w:p>
    <w:p>
      <w:pPr>
        <w:pStyle w:val="ListParagraph"/>
        <w:numPr>
          <w:ilvl w:val="0"/>
          <w:numId w:val="3"/>
        </w:numPr>
        <w:spacing w:after="100"/>
      </w:pPr>
      <w:hyperlink w:history="1" r:id="rId5ar9gzkximgco2pjf9bq8">
        <w:r>
          <w:rPr>
            <w:rStyle w:val="Hyperlink"/>
            <w:rFonts w:ascii="Calibri" w:cs="Calibri" w:eastAsia="Calibri" w:hAnsi="Calibri"/>
            <w:sz w:val="22"/>
            <w:szCs w:val="22"/>
          </w:rPr>
          <w:t xml:space="preserve">Svensson, L. E. O. (1994). Estimating and Interpreting Forward Interest Rates: Sweden 1992–1994. NBER Working Paper 4871.</w:t>
        </w:r>
      </w:hyperlink>
    </w:p>
    <w:p>
      <w:pPr>
        <w:pStyle w:val="ListParagraph"/>
        <w:numPr>
          <w:ilvl w:val="0"/>
          <w:numId w:val="3"/>
        </w:numPr>
        <w:spacing w:after="100"/>
      </w:pPr>
      <w:hyperlink w:history="1" r:id="rIdzhlvgrwldswcaxmreoigx">
        <w:r>
          <w:rPr>
            <w:rStyle w:val="Hyperlink"/>
            <w:rFonts w:ascii="Calibri" w:cs="Calibri" w:eastAsia="Calibri" w:hAnsi="Calibri"/>
            <w:sz w:val="22"/>
            <w:szCs w:val="22"/>
          </w:rPr>
          <w:t xml:space="preserve">Litterman, R., &amp; Scheinkman, J. (1991). Common Factors Affecting Bond Returns. Journal of Fixed Income 1(1), 54–61.</w:t>
        </w:r>
      </w:hyperlink>
    </w:p>
    <w:p>
      <w:pPr>
        <w:pStyle w:val="ListParagraph"/>
        <w:numPr>
          <w:ilvl w:val="0"/>
          <w:numId w:val="3"/>
        </w:numPr>
        <w:spacing w:after="100"/>
      </w:pPr>
      <w:hyperlink w:history="1" r:id="rIdwzgruprnkigymonfa6zwx">
        <w:r>
          <w:rPr>
            <w:rStyle w:val="Hyperlink"/>
            <w:rFonts w:ascii="Calibri" w:cs="Calibri" w:eastAsia="Calibri" w:hAnsi="Calibri"/>
            <w:sz w:val="22"/>
            <w:szCs w:val="22"/>
          </w:rPr>
          <w:t xml:space="preserve">Hamilton, J. D. (1989). A New Approach to the Economic Analysis of Nonstationary Time Series and the Business Cycle. Econometrica 57(2), 357–384.</w:t>
        </w:r>
      </w:hyperlink>
    </w:p>
    <w:p>
      <w:pPr>
        <w:pStyle w:val="ListParagraph"/>
        <w:numPr>
          <w:ilvl w:val="0"/>
          <w:numId w:val="3"/>
        </w:numPr>
        <w:spacing w:after="100"/>
      </w:pPr>
      <w:hyperlink w:history="1" r:id="rId9wjx0ffna0du8muikqdkp">
        <w:r>
          <w:rPr>
            <w:rStyle w:val="Hyperlink"/>
            <w:rFonts w:ascii="Calibri" w:cs="Calibri" w:eastAsia="Calibri" w:hAnsi="Calibri"/>
            <w:sz w:val="22"/>
            <w:szCs w:val="22"/>
          </w:rPr>
          <w:t xml:space="preserve">Rabiner, L. R. (1989). A Tutorial on Hidden Markov Models and Selected Applications in Speech Recognition. Proceedings of the IEEE 77(2), 257–286.</w:t>
        </w:r>
      </w:hyperlink>
    </w:p>
    <w:p>
      <w:pPr>
        <w:pStyle w:val="ListParagraph"/>
        <w:numPr>
          <w:ilvl w:val="0"/>
          <w:numId w:val="3"/>
        </w:numPr>
        <w:spacing w:after="100"/>
      </w:pPr>
      <w:hyperlink w:history="1" r:id="rIdo_zpothlsttnyca2ssrwp">
        <w:r>
          <w:rPr>
            <w:rStyle w:val="Hyperlink"/>
            <w:rFonts w:ascii="Calibri" w:cs="Calibri" w:eastAsia="Calibri" w:hAnsi="Calibri"/>
            <w:sz w:val="22"/>
            <w:szCs w:val="22"/>
          </w:rPr>
          <w:t xml:space="preserve">Ang, A., &amp; Piazzesi, M. (2003). A No-Arbitrage Vector Autoregression of Term Structure Dynamics with Macroeconomic and Latent Variables. Journal of Monetary Economics 50(4), 745–787.</w:t>
        </w:r>
      </w:hyperlink>
    </w:p>
    <w:p>
      <w:pPr>
        <w:pStyle w:val="ListParagraph"/>
        <w:numPr>
          <w:ilvl w:val="0"/>
          <w:numId w:val="3"/>
        </w:numPr>
        <w:spacing w:after="100"/>
      </w:pPr>
      <w:hyperlink w:history="1" r:id="rId0wu4pwhszazcuccdahbpr">
        <w:r>
          <w:rPr>
            <w:rStyle w:val="Hyperlink"/>
            <w:rFonts w:ascii="Calibri" w:cs="Calibri" w:eastAsia="Calibri" w:hAnsi="Calibri"/>
            <w:sz w:val="22"/>
            <w:szCs w:val="22"/>
          </w:rPr>
          <w:t xml:space="preserve">Jordà, Ò. (2005). Estimation and Inference of Impulse Responses by Local Projections. American Economic Review 95(1), 161–182.</w:t>
        </w:r>
      </w:hyperlink>
    </w:p>
    <w:p>
      <w:pPr>
        <w:pStyle w:val="ListParagraph"/>
        <w:numPr>
          <w:ilvl w:val="0"/>
          <w:numId w:val="3"/>
        </w:numPr>
        <w:spacing w:after="100"/>
      </w:pPr>
      <w:hyperlink w:history="1" r:id="rIdqtnd1lgt-xioqlnvc7ydn">
        <w:r>
          <w:rPr>
            <w:rStyle w:val="Hyperlink"/>
            <w:rFonts w:ascii="Calibri" w:cs="Calibri" w:eastAsia="Calibri" w:hAnsi="Calibri"/>
            <w:sz w:val="22"/>
            <w:szCs w:val="22"/>
          </w:rPr>
          <w:t xml:space="preserve">Diebold, F. X., Rudebusch, G. D., &amp; Aruoba, S. B. (2006). The Macroeconomy and the Yield Curve: A Dynamic Latent Factor Approach. Journal of Econometrics 131, 309–338.</w:t>
        </w:r>
      </w:hyperlink>
    </w:p>
    <w:p>
      <w:pPr>
        <w:pStyle w:val="ListParagraph"/>
        <w:numPr>
          <w:ilvl w:val="0"/>
          <w:numId w:val="3"/>
        </w:numPr>
        <w:spacing w:after="100"/>
      </w:pPr>
      <w:hyperlink w:history="1" r:id="rIdq84_oq71ryprkb4w46kni">
        <w:r>
          <w:rPr>
            <w:rStyle w:val="Hyperlink"/>
            <w:rFonts w:ascii="Calibri" w:cs="Calibri" w:eastAsia="Calibri" w:hAnsi="Calibri"/>
            <w:sz w:val="22"/>
            <w:szCs w:val="22"/>
          </w:rPr>
          <w:t xml:space="preserve">Gürkaynak, R. S., Sack, B., &amp; Wright, J. H. (2007). The U.S. Treasury Yield Curve: 1961 to the Present. Journal of Monetary Economics 54, 2291–2304.</w:t>
        </w:r>
      </w:hyperlink>
    </w:p>
    <w:p>
      <w:pPr>
        <w:pStyle w:val="ListParagraph"/>
        <w:numPr>
          <w:ilvl w:val="0"/>
          <w:numId w:val="3"/>
        </w:numPr>
        <w:spacing w:after="100"/>
      </w:pPr>
      <w:hyperlink w:history="1" r:id="rIdles_z5p0hrodj2fuxceer">
        <w:r>
          <w:rPr>
            <w:rStyle w:val="Hyperlink"/>
            <w:rFonts w:ascii="Calibri" w:cs="Calibri" w:eastAsia="Calibri" w:hAnsi="Calibri"/>
            <w:sz w:val="22"/>
            <w:szCs w:val="22"/>
          </w:rPr>
          <w:t xml:space="preserve">Breiman, L. (2001). Random Forests. Machine Learning 45(1), 5–32.</w:t>
        </w:r>
      </w:hyperlink>
    </w:p>
    <w:p>
      <w:pPr>
        <w:pStyle w:val="ListParagraph"/>
        <w:numPr>
          <w:ilvl w:val="0"/>
          <w:numId w:val="3"/>
        </w:numPr>
        <w:spacing w:after="100"/>
      </w:pPr>
      <w:hyperlink w:history="1" r:id="rId26cohcmloz1hxxqhfaz6y">
        <w:r>
          <w:rPr>
            <w:rStyle w:val="Hyperlink"/>
            <w:rFonts w:ascii="Calibri" w:cs="Calibri" w:eastAsia="Calibri" w:hAnsi="Calibri"/>
            <w:sz w:val="22"/>
            <w:szCs w:val="22"/>
          </w:rPr>
          <w:t xml:space="preserve">Hu, G. X., Pan, J., &amp; Wang, J. (2013). Noise as Information for Illiquidity. Journal of Finance 68(6), 2341–2382.</w:t>
        </w:r>
      </w:hyperlink>
    </w:p>
    <w:p>
      <w:pPr>
        <w:pStyle w:val="ListParagraph"/>
        <w:numPr>
          <w:ilvl w:val="0"/>
          <w:numId w:val="3"/>
        </w:numPr>
        <w:spacing w:after="100"/>
      </w:pPr>
      <w:hyperlink w:history="1" r:id="rIdtd8ysfvohu7kgwi68ajpf">
        <w:r>
          <w:rPr>
            <w:rStyle w:val="Hyperlink"/>
            <w:rFonts w:ascii="Calibri" w:cs="Calibri" w:eastAsia="Calibri" w:hAnsi="Calibri"/>
            <w:sz w:val="22"/>
            <w:szCs w:val="22"/>
          </w:rPr>
          <w:t xml:space="preserve">Adrian, T., Crump, R. K., &amp; Moench, E. (2013). Pricing the Term Structure with Linear Regressions. Journal of Financial Economics 110, 110–138 (FRBNY Staff Report 340).</w:t>
        </w:r>
      </w:hyperlink>
    </w:p>
    <w:p>
      <w:pPr>
        <w:pStyle w:val="ListParagraph"/>
        <w:numPr>
          <w:ilvl w:val="0"/>
          <w:numId w:val="3"/>
        </w:numPr>
        <w:spacing w:after="100"/>
      </w:pPr>
      <w:hyperlink w:history="1" r:id="rIdo4r36svcki8nmcjguyqkt">
        <w:r>
          <w:rPr>
            <w:rStyle w:val="Hyperlink"/>
            <w:rFonts w:ascii="Calibri" w:cs="Calibri" w:eastAsia="Calibri" w:hAnsi="Calibri"/>
            <w:sz w:val="22"/>
            <w:szCs w:val="22"/>
          </w:rPr>
          <w:t xml:space="preserve">Lou, D., Yan, H., &amp; Zhang, J. (2013). Anticipated and Repeated Shocks in Liquid Markets. Review of Financial Studies 26(8), 1891–1912.</w:t>
        </w:r>
      </w:hyperlink>
    </w:p>
    <w:p>
      <w:pPr>
        <w:pStyle w:val="ListParagraph"/>
        <w:numPr>
          <w:ilvl w:val="0"/>
          <w:numId w:val="3"/>
        </w:numPr>
        <w:spacing w:after="100"/>
      </w:pPr>
      <w:hyperlink w:history="1" r:id="rIdowa684nkxqsma3eeubsl1">
        <w:r>
          <w:rPr>
            <w:rStyle w:val="Hyperlink"/>
            <w:rFonts w:ascii="Calibri" w:cs="Calibri" w:eastAsia="Calibri" w:hAnsi="Calibri"/>
            <w:sz w:val="22"/>
            <w:szCs w:val="22"/>
          </w:rPr>
          <w:t xml:space="preserve">López de Prado, M. (2018). Advances in Financial Machine Learning. Wiley.</w:t>
        </w:r>
      </w:hyperlink>
    </w:p>
    <w:p>
      <w:pPr>
        <w:pStyle w:val="ListParagraph"/>
        <w:numPr>
          <w:ilvl w:val="0"/>
          <w:numId w:val="3"/>
        </w:numPr>
        <w:spacing w:after="100"/>
      </w:pPr>
      <w:hyperlink w:history="1" r:id="rIduugiv3glwpajmvbebttwe">
        <w:r>
          <w:rPr>
            <w:rStyle w:val="Hyperlink"/>
            <w:rFonts w:ascii="Calibri" w:cs="Calibri" w:eastAsia="Calibri" w:hAnsi="Calibri"/>
            <w:sz w:val="22"/>
            <w:szCs w:val="22"/>
          </w:rPr>
          <w:t xml:space="preserve">Filipović, D., Pelger, M., &amp; Ye, Y. (2022). Stripping the Discount Curve — A Robust Machine Learning Approach. Swiss Finance Institute Research Paper.</w:t>
        </w:r>
      </w:hyperlink>
    </w:p>
    <w:p>
      <w:pPr>
        <w:pStyle w:val="Heading1"/>
      </w:pPr>
      <w:r>
        <w:t xml:space="preserve">13. Code Repositories</w:t>
      </w:r>
    </w:p>
    <w:p>
      <w:pPr>
        <w:pStyle w:val="ListParagraph"/>
        <w:numPr>
          <w:ilvl w:val="0"/>
          <w:numId w:val="4"/>
        </w:numPr>
        <w:spacing w:after="100"/>
      </w:pPr>
      <w:hyperlink w:history="1" r:id="rIdbts2jjcpoewx3urg_vz0k">
        <w:r>
          <w:rPr>
            <w:rStyle w:val="Hyperlink"/>
            <w:rFonts w:ascii="Calibri" w:cs="Calibri" w:eastAsia="Calibri" w:hAnsi="Calibri"/>
            <w:sz w:val="22"/>
            <w:szCs w:val="22"/>
          </w:rPr>
          <w:t xml:space="preserve">supreeth8/Term_structure_modeling</w:t>
        </w:r>
      </w:hyperlink>
      <w:r>
        <w:rPr>
          <w:rFonts w:ascii="Calibri" w:cs="Calibri" w:eastAsia="Calibri" w:hAnsi="Calibri"/>
          <w:sz w:val="22"/>
          <w:szCs w:val="22"/>
        </w:rPr>
        <w:t xml:space="preserve"> — Nelson–Siegel + cubic-spline curve fitting (Python).</w:t>
      </w:r>
    </w:p>
    <w:p>
      <w:pPr>
        <w:pStyle w:val="ListParagraph"/>
        <w:numPr>
          <w:ilvl w:val="0"/>
          <w:numId w:val="4"/>
        </w:numPr>
        <w:spacing w:after="100"/>
      </w:pPr>
      <w:hyperlink w:history="1" r:id="rIdxmjxd38nv2vzmyquuqluj">
        <w:r>
          <w:rPr>
            <w:rStyle w:val="Hyperlink"/>
            <w:rFonts w:ascii="Calibri" w:cs="Calibri" w:eastAsia="Calibri" w:hAnsi="Calibri"/>
            <w:sz w:val="22"/>
            <w:szCs w:val="22"/>
          </w:rPr>
          <w:t xml:space="preserve">yye9701/KR_example</w:t>
        </w:r>
      </w:hyperlink>
      <w:r>
        <w:rPr>
          <w:rFonts w:ascii="Calibri" w:cs="Calibri" w:eastAsia="Calibri" w:hAnsi="Calibri"/>
          <w:sz w:val="22"/>
          <w:szCs w:val="22"/>
        </w:rPr>
        <w:t xml:space="preserve"> — kernel-ridge discount-curve estimation (Filipović–Pelger–Ye).</w:t>
      </w:r>
    </w:p>
    <w:p>
      <w:pPr>
        <w:pStyle w:val="ListParagraph"/>
        <w:numPr>
          <w:ilvl w:val="0"/>
          <w:numId w:val="4"/>
        </w:numPr>
        <w:spacing w:after="100"/>
      </w:pPr>
      <w:hyperlink w:history="1" r:id="rIdqkk745yu8xsu43_i0gy1d">
        <w:r>
          <w:rPr>
            <w:rStyle w:val="Hyperlink"/>
            <w:rFonts w:ascii="Calibri" w:cs="Calibri" w:eastAsia="Calibri" w:hAnsi="Calibri"/>
            <w:sz w:val="22"/>
            <w:szCs w:val="22"/>
          </w:rPr>
          <w:t xml:space="preserve">luphord/nelson_siegel_svensson</w:t>
        </w:r>
      </w:hyperlink>
      <w:r>
        <w:rPr>
          <w:rFonts w:ascii="Calibri" w:cs="Calibri" w:eastAsia="Calibri" w:hAnsi="Calibri"/>
          <w:sz w:val="22"/>
          <w:szCs w:val="22"/>
        </w:rPr>
        <w:t xml:space="preserve"> — pip-installable Nelson–Siegel–Svensson implementation.</w:t>
      </w:r>
    </w:p>
    <w:p>
      <w:pPr>
        <w:pStyle w:val="ListParagraph"/>
        <w:numPr>
          <w:ilvl w:val="0"/>
          <w:numId w:val="4"/>
        </w:numPr>
        <w:spacing w:after="100"/>
      </w:pPr>
      <w:hyperlink w:history="1" r:id="rIdwpmsj6a4uti77h5pe8sq6">
        <w:r>
          <w:rPr>
            <w:rStyle w:val="Hyperlink"/>
            <w:rFonts w:ascii="Calibri" w:cs="Calibri" w:eastAsia="Calibri" w:hAnsi="Calibri"/>
            <w:sz w:val="22"/>
            <w:szCs w:val="22"/>
          </w:rPr>
          <w:t xml:space="preserve">1IfByLAN2IfByC/Diebold_BondYield</w:t>
        </w:r>
      </w:hyperlink>
      <w:r>
        <w:rPr>
          <w:rFonts w:ascii="Calibri" w:cs="Calibri" w:eastAsia="Calibri" w:hAnsi="Calibri"/>
          <w:sz w:val="22"/>
          <w:szCs w:val="22"/>
        </w:rPr>
        <w:t xml:space="preserve"> — Diebold–Li dynamic Nelson–Siegel recreation (Python).</w:t>
      </w:r>
    </w:p>
    <w:p>
      <w:pPr>
        <w:pStyle w:val="ListParagraph"/>
        <w:numPr>
          <w:ilvl w:val="0"/>
          <w:numId w:val="4"/>
        </w:numPr>
        <w:spacing w:after="100"/>
      </w:pPr>
      <w:hyperlink w:history="1" r:id="rIdzbhb5a94n8bwe69xx5io-">
        <w:r>
          <w:rPr>
            <w:rStyle w:val="Hyperlink"/>
            <w:rFonts w:ascii="Calibri" w:cs="Calibri" w:eastAsia="Calibri" w:hAnsi="Calibri"/>
            <w:sz w:val="22"/>
            <w:szCs w:val="22"/>
          </w:rPr>
          <w:t xml:space="preserve">alamgirhossain-tech/Markov-Switch-Regime-Analysis</w:t>
        </w:r>
      </w:hyperlink>
      <w:r>
        <w:rPr>
          <w:rFonts w:ascii="Calibri" w:cs="Calibri" w:eastAsia="Calibri" w:hAnsi="Calibri"/>
          <w:sz w:val="22"/>
          <w:szCs w:val="22"/>
        </w:rPr>
        <w:t xml:space="preserve"> — MS-AR regime labelling → Random Forest.</w:t>
      </w:r>
    </w:p>
    <w:p>
      <w:pPr>
        <w:pStyle w:val="ListParagraph"/>
        <w:numPr>
          <w:ilvl w:val="0"/>
          <w:numId w:val="4"/>
        </w:numPr>
        <w:spacing w:after="100"/>
      </w:pPr>
      <w:hyperlink w:history="1" r:id="rIdl3u7ppsascc252izr12at">
        <w:r>
          <w:rPr>
            <w:rStyle w:val="Hyperlink"/>
            <w:rFonts w:ascii="Calibri" w:cs="Calibri" w:eastAsia="Calibri" w:hAnsi="Calibri"/>
            <w:sz w:val="22"/>
            <w:szCs w:val="22"/>
          </w:rPr>
          <w:t xml:space="preserve">hudson-and-thames/mlfinlab</w:t>
        </w:r>
      </w:hyperlink>
      <w:r>
        <w:rPr>
          <w:rFonts w:ascii="Calibri" w:cs="Calibri" w:eastAsia="Calibri" w:hAnsi="Calibri"/>
          <w:sz w:val="22"/>
          <w:szCs w:val="22"/>
        </w:rPr>
        <w:t xml:space="preserve"> — PurgedKFold, CombinatorialPurgedKFold (López de Prado).</w:t>
      </w:r>
    </w:p>
    <w:p>
      <w:pPr>
        <w:pStyle w:val="ListParagraph"/>
        <w:numPr>
          <w:ilvl w:val="0"/>
          <w:numId w:val="4"/>
        </w:numPr>
        <w:spacing w:after="100"/>
      </w:pPr>
      <w:hyperlink w:history="1" r:id="rIdprnwjaempfd9brrsb-k14">
        <w:r>
          <w:rPr>
            <w:rStyle w:val="Hyperlink"/>
            <w:rFonts w:ascii="Calibri" w:cs="Calibri" w:eastAsia="Calibri" w:hAnsi="Calibri"/>
            <w:sz w:val="22"/>
            <w:szCs w:val="22"/>
          </w:rPr>
          <w:t xml:space="preserve">github.com/topics/yield-curve</w:t>
        </w:r>
      </w:hyperlink>
      <w:r>
        <w:rPr>
          <w:rFonts w:ascii="Calibri" w:cs="Calibri" w:eastAsia="Calibri" w:hAnsi="Calibri"/>
          <w:sz w:val="22"/>
          <w:szCs w:val="22"/>
        </w:rPr>
        <w:t xml:space="preserve"> — ACM term-structure and NSS estimators index.</w:t>
      </w:r>
    </w:p>
    <w:p>
      <w:pPr>
        <w:pStyle w:val="Heading1"/>
      </w:pPr>
      <w:r>
        <w:t xml:space="preserve">14. Note on Data and Transfer</w:t>
      </w:r>
    </w:p>
    <w:p>
      <w:pPr>
        <w:spacing w:after="120" w:line="276"/>
      </w:pPr>
      <w:r>
        <w:rPr>
          <w:rFonts w:ascii="Calibri" w:cs="Calibri" w:eastAsia="Calibri" w:hAnsi="Calibri"/>
          <w:i/>
          <w:iCs/>
          <w:sz w:val="22"/>
          <w:szCs w:val="22"/>
        </w:rPr>
        <w:t xml:space="preserve">This specification describes methodology and uses only publicly cited literature and open-source code references. It contains no proprietary desk data, positions, or client information. Any transfer of this document, or of associated code, onto or off of firm systems should follow the firm’s data-handling and external-code-provenance policies and be cleared with the relevant supervisor and compliance 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color w:val="808080"/>
        <w:sz w:val="16"/>
        <w:szCs w:val="16"/>
      </w:rPr>
      <w:t xml:space="preserve">Treasury Auction Micro-Factor → Curve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xvhy50e5qc_xtcxuzgmk" Type="http://schemas.openxmlformats.org/officeDocument/2006/relationships/hyperlink" Target="https://ideas.repec.org/p/ehl/lserod/43120.html" TargetMode="External"/><Relationship Id="rIdiewp5gdfifw0evg3znpd5" Type="http://schemas.openxmlformats.org/officeDocument/2006/relationships/hyperlink" Target="https://www.federalreserve.gov/data/nominal-yield-curve.htm" TargetMode="External"/><Relationship Id="rIdwxxoc-wksljgt453uovwl" Type="http://schemas.openxmlformats.org/officeDocument/2006/relationships/hyperlink" Target="https://www.nber.org/papers/w4871" TargetMode="External"/><Relationship Id="rIdyoucs_7s6_jh8bxi5j0xr" Type="http://schemas.openxmlformats.org/officeDocument/2006/relationships/hyperlink" Target="https://scholar.google.com/scholar?q=Nelson+Siegel+1987+Parsimonious+Modeling+of+Yield+Curves+Journal+of+Business" TargetMode="External"/><Relationship Id="rIdtidgwgbbr1appig3ncmtl" Type="http://schemas.openxmlformats.org/officeDocument/2006/relationships/hyperlink" Target="https://www.sciencedirect.com/science/article/abs/pii/S0304393207000840" TargetMode="External"/><Relationship Id="rIdb4la-gn6mu8_6r6sczggg" Type="http://schemas.openxmlformats.org/officeDocument/2006/relationships/hyperlink" Target="https://www.federalreserve.gov/pubs/feds/2006/200628/200628pap.pdf" TargetMode="External"/><Relationship Id="rIdzoatbxry8-xo9avps_a5b" Type="http://schemas.openxmlformats.org/officeDocument/2006/relationships/hyperlink" Target="https://onlinelibrary.wiley.com/doi/abs/10.1111/jofi.12083" TargetMode="External"/><Relationship Id="rIdscso4q-gjne5reqn09ccd" Type="http://schemas.openxmlformats.org/officeDocument/2006/relationships/hyperlink" Target="https://github.com/supreeth8/Term_structure_modeling" TargetMode="External"/><Relationship Id="rIdzv4xxhfwkwda1xkmplje7" Type="http://schemas.openxmlformats.org/officeDocument/2006/relationships/hyperlink" Target="https://github.com/yye9701/KR_example" TargetMode="External"/><Relationship Id="rIdsjog8w0putilufuipoju9" Type="http://schemas.openxmlformats.org/officeDocument/2006/relationships/hyperlink" Target="https://scholar.google.com/scholar?q=Filipovic+Pelger+Ye+Stripping+the+Discount+Curve+robust+machine+learning" TargetMode="External"/><Relationship Id="rIdqf98raw1znrfrqigh_fb0" Type="http://schemas.openxmlformats.org/officeDocument/2006/relationships/hyperlink" Target="https://github.com/luphord/nelson_siegel_svensson" TargetMode="External"/><Relationship Id="rIdcsafw1twrvjza88wzrke1" Type="http://schemas.openxmlformats.org/officeDocument/2006/relationships/hyperlink" Target="https://scholar.google.com/scholar?q=Ang+Piazzesi+2003+no-arbitrage+vector+autoregression+term+structure+macroeconomic+latent" TargetMode="External"/><Relationship Id="rIdcnh9bnwhi2pj1ortbr8hj" Type="http://schemas.openxmlformats.org/officeDocument/2006/relationships/hyperlink" Target="https://scholar.google.com/scholar?q=Diebold+Rudebusch+Aruoba+2006+macroeconomy+yield+curve+dynamic+latent+factor" TargetMode="External"/><Relationship Id="rIdw0s3fiilzzhphnlchunfk" Type="http://schemas.openxmlformats.org/officeDocument/2006/relationships/hyperlink" Target="https://www.newyorkfed.org/medialibrary/media/research/staff_reports/sr340.pdf" TargetMode="External"/><Relationship Id="rIdmosz8dcq5guileouw00mb" Type="http://schemas.openxmlformats.org/officeDocument/2006/relationships/hyperlink" Target="https://scholar.google.com/scholar?q=Rabiner+1989+Tutorial+Hidden+Markov+Models+speech+recognition" TargetMode="External"/><Relationship Id="rIdjldvcxbyebs3xw_zo_c0_" Type="http://schemas.openxmlformats.org/officeDocument/2006/relationships/hyperlink" Target="https://scholar.google.com/scholar?q=Hamilton+1989+New+Approach+Economic+Analysis+Nonstationary+Time+Series+Business+Cycle+Econometrica" TargetMode="External"/><Relationship Id="rIdgupeb3sqekizypkkxice4" Type="http://schemas.openxmlformats.org/officeDocument/2006/relationships/hyperlink" Target="https://github.com/alamgirhossain-tech/Markov-Switch-Regime-Analysis" TargetMode="External"/><Relationship Id="rIdg5fq57gorh9j9es1mzqof" Type="http://schemas.openxmlformats.org/officeDocument/2006/relationships/hyperlink" Target="https://scholar.google.com/scholar?q=Litterman+Scheinkman+1991+Common+Factors+Affecting+Bond+Returns" TargetMode="External"/><Relationship Id="rIdsue6x7_vhvkget1onpgn6" Type="http://schemas.openxmlformats.org/officeDocument/2006/relationships/hyperlink" Target="https://doi.org/10.1023/A:1010933404324" TargetMode="External"/><Relationship Id="rIdvkqwkumyxh711zlxeo8ix" Type="http://schemas.openxmlformats.org/officeDocument/2006/relationships/hyperlink" Target="https://www.aeaweb.org/articles?id=10.1257/0002828053828518" TargetMode="External"/><Relationship Id="rIdadnjqiyjd2zaaa3a8m309" Type="http://schemas.openxmlformats.org/officeDocument/2006/relationships/hyperlink" Target="https://ideas.repec.org/p/ehl/lserod/43120.html" TargetMode="External"/><Relationship Id="rId83sn9hkkqk8xd9smn8yu9" Type="http://schemas.openxmlformats.org/officeDocument/2006/relationships/hyperlink" Target="https://scholar.google.com/scholar?q=Lopez+de+Prado+2018+Advances+in+Financial+Machine+Learning" TargetMode="External"/><Relationship Id="rId1ddvvq5suipgbg_cw79x3" Type="http://schemas.openxmlformats.org/officeDocument/2006/relationships/hyperlink" Target="https://github.com/hudson-and-thames/mlfinlab" TargetMode="External"/><Relationship Id="rIdkqraur80fsgt4af8jnxbh" Type="http://schemas.openxmlformats.org/officeDocument/2006/relationships/hyperlink" Target="https://scholar.google.com/scholar?q=Nelson+Siegel+1987+Parsimonious+Modeling+of+Yield+Curves+Journal+of+Business" TargetMode="External"/><Relationship Id="rId5ar9gzkximgco2pjf9bq8" Type="http://schemas.openxmlformats.org/officeDocument/2006/relationships/hyperlink" Target="https://www.nber.org/papers/w4871" TargetMode="External"/><Relationship Id="rIdzhlvgrwldswcaxmreoigx" Type="http://schemas.openxmlformats.org/officeDocument/2006/relationships/hyperlink" Target="https://scholar.google.com/scholar?q=Litterman+Scheinkman+1991+Common+Factors+Affecting+Bond+Returns" TargetMode="External"/><Relationship Id="rIdwzgruprnkigymonfa6zwx" Type="http://schemas.openxmlformats.org/officeDocument/2006/relationships/hyperlink" Target="https://scholar.google.com/scholar?q=Hamilton+1989+New+Approach+Economic+Analysis+Nonstationary+Time+Series+Business+Cycle+Econometrica" TargetMode="External"/><Relationship Id="rId9wjx0ffna0du8muikqdkp" Type="http://schemas.openxmlformats.org/officeDocument/2006/relationships/hyperlink" Target="https://scholar.google.com/scholar?q=Rabiner+1989+Tutorial+Hidden+Markov+Models+speech+recognition" TargetMode="External"/><Relationship Id="rIdo_zpothlsttnyca2ssrwp" Type="http://schemas.openxmlformats.org/officeDocument/2006/relationships/hyperlink" Target="https://scholar.google.com/scholar?q=Ang+Piazzesi+2003+no-arbitrage+vector+autoregression+term+structure+macroeconomic+latent" TargetMode="External"/><Relationship Id="rId0wu4pwhszazcuccdahbpr" Type="http://schemas.openxmlformats.org/officeDocument/2006/relationships/hyperlink" Target="https://www.aeaweb.org/articles?id=10.1257/0002828053828518" TargetMode="External"/><Relationship Id="rIdqtnd1lgt-xioqlnvc7ydn" Type="http://schemas.openxmlformats.org/officeDocument/2006/relationships/hyperlink" Target="https://scholar.google.com/scholar?q=Diebold+Rudebusch+Aruoba+2006+macroeconomy+yield+curve+dynamic+latent+factor" TargetMode="External"/><Relationship Id="rIdq84_oq71ryprkb4w46kni" Type="http://schemas.openxmlformats.org/officeDocument/2006/relationships/hyperlink" Target="https://www.sciencedirect.com/science/article/abs/pii/S0304393207000840" TargetMode="External"/><Relationship Id="rIdles_z5p0hrodj2fuxceer" Type="http://schemas.openxmlformats.org/officeDocument/2006/relationships/hyperlink" Target="https://doi.org/10.1023/A:1010933404324" TargetMode="External"/><Relationship Id="rId26cohcmloz1hxxqhfaz6y" Type="http://schemas.openxmlformats.org/officeDocument/2006/relationships/hyperlink" Target="https://onlinelibrary.wiley.com/doi/abs/10.1111/jofi.12083" TargetMode="External"/><Relationship Id="rIdtd8ysfvohu7kgwi68ajpf" Type="http://schemas.openxmlformats.org/officeDocument/2006/relationships/hyperlink" Target="https://www.newyorkfed.org/medialibrary/media/research/staff_reports/sr340.pdf" TargetMode="External"/><Relationship Id="rIdo4r36svcki8nmcjguyqkt" Type="http://schemas.openxmlformats.org/officeDocument/2006/relationships/hyperlink" Target="https://ideas.repec.org/p/ehl/lserod/43120.html" TargetMode="External"/><Relationship Id="rIdowa684nkxqsma3eeubsl1" Type="http://schemas.openxmlformats.org/officeDocument/2006/relationships/hyperlink" Target="https://scholar.google.com/scholar?q=Lopez+de+Prado+2018+Advances+in+Financial+Machine+Learning" TargetMode="External"/><Relationship Id="rIduugiv3glwpajmvbebttwe" Type="http://schemas.openxmlformats.org/officeDocument/2006/relationships/hyperlink" Target="https://scholar.google.com/scholar?q=Filipovic+Pelger+Ye+Stripping+the+Discount+Curve+robust+machine+learning" TargetMode="External"/><Relationship Id="rIdbts2jjcpoewx3urg_vz0k" Type="http://schemas.openxmlformats.org/officeDocument/2006/relationships/hyperlink" Target="https://github.com/supreeth8/Term_structure_modeling" TargetMode="External"/><Relationship Id="rIdxmjxd38nv2vzmyquuqluj" Type="http://schemas.openxmlformats.org/officeDocument/2006/relationships/hyperlink" Target="https://github.com/yye9701/KR_example" TargetMode="External"/><Relationship Id="rIdqkk745yu8xsu43_i0gy1d" Type="http://schemas.openxmlformats.org/officeDocument/2006/relationships/hyperlink" Target="https://github.com/luphord/nelson_siegel_svensson" TargetMode="External"/><Relationship Id="rIdwpmsj6a4uti77h5pe8sq6" Type="http://schemas.openxmlformats.org/officeDocument/2006/relationships/hyperlink" Target="https://github.com/1IfByLAN2IfByC/Diebold_BondYield" TargetMode="External"/><Relationship Id="rIdzbhb5a94n8bwe69xx5io-" Type="http://schemas.openxmlformats.org/officeDocument/2006/relationships/hyperlink" Target="https://github.com/alamgirhossain-tech/Markov-Switch-Regime-Analysis" TargetMode="External"/><Relationship Id="rIdl3u7ppsascc252izr12at" Type="http://schemas.openxmlformats.org/officeDocument/2006/relationships/hyperlink" Target="https://github.com/hudson-and-thames/mlfinlab" TargetMode="External"/><Relationship Id="rIdprnwjaempfd9brrsb-k14" Type="http://schemas.openxmlformats.org/officeDocument/2006/relationships/hyperlink" Target="https://github.com/topics/yield-curve"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2026-06-20T18:42:05.021Z</dcterms:created>
  <dcterms:modified xsi:type="dcterms:W3CDTF">2026-06-20T18:42:05.021Z</dcterms:modified>
</cp:coreProperties>
</file>

<file path=docProps/custom.xml><?xml version="1.0" encoding="utf-8"?>
<Properties xmlns="http://schemas.openxmlformats.org/officeDocument/2006/custom-properties" xmlns:vt="http://schemas.openxmlformats.org/officeDocument/2006/docPropsVTypes"/>
</file>