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2E4A7A"/>
          <w:sz w:val="56"/>
          <w:szCs w:val="56"/>
        </w:rPr>
        <w:t xml:space="preserve">EEG-Based Motor Imagery Classification</w:t>
      </w:r>
    </w:p>
    <w:p>
      <w:pPr>
        <w:spacing w:after="240"/>
        <w:jc w:val="center"/>
      </w:pPr>
      <w:r>
        <w:rPr>
          <w:rFonts w:ascii="Arial" w:cs="Arial" w:eastAsia="Arial" w:hAnsi="Arial"/>
          <w:i/>
          <w:iCs/>
          <w:color w:val="4472C4"/>
          <w:sz w:val="40"/>
          <w:szCs w:val="40"/>
        </w:rPr>
        <w:t xml:space="preserve">for Real-Time Brain-Computer Interface Applications</w:t>
      </w:r>
    </w:p>
    <w:p>
      <w:pPr>
        <w:pBdr>
          <w:bottom w:val="single" w:color="2E4A7A" w:sz="6" w:space="1"/>
        </w:pBdr>
        <w:spacing w:after="240" w:before="480"/>
        <w:jc w:val="center"/>
      </w:pPr>
      <w:r>
        <w:rPr>
          <w:rFonts w:ascii="Arial" w:cs="Arial" w:eastAsia="Arial" w:hAnsi="Arial"/>
          <w:sz w:val="24"/>
          <w:szCs w:val="24"/>
        </w:rPr>
        <w:t xml:space="preserve"> </w:t>
      </w:r>
    </w:p>
    <w:p>
      <w:pPr>
        <w:spacing w:after="120" w:before="480"/>
        <w:jc w:val="center"/>
      </w:pPr>
      <w:r>
        <w:rPr>
          <w:rFonts w:ascii="Arial" w:cs="Arial" w:eastAsia="Arial" w:hAnsi="Arial"/>
          <w:b/>
          <w:bCs/>
          <w:color w:val="2E4A7A"/>
          <w:sz w:val="28"/>
          <w:szCs w:val="28"/>
        </w:rPr>
        <w:t xml:space="preserve">Master's Final Project Report</w:t>
      </w:r>
    </w:p>
    <w:p>
      <w:pPr>
        <w:spacing w:after="120"/>
        <w:jc w:val="center"/>
      </w:pPr>
      <w:r>
        <w:rPr>
          <w:rFonts w:ascii="Arial" w:cs="Arial" w:eastAsia="Arial" w:hAnsi="Arial"/>
          <w:color w:val="555555"/>
          <w:sz w:val="24"/>
          <w:szCs w:val="24"/>
        </w:rPr>
        <w:t xml:space="preserve">Department of Biomedical Engineering</w:t>
      </w:r>
    </w:p>
    <w:p>
      <w:pPr>
        <w:spacing w:after="120"/>
        <w:jc w:val="center"/>
      </w:pPr>
      <w:r>
        <w:rPr>
          <w:rFonts w:ascii="Arial" w:cs="Arial" w:eastAsia="Arial" w:hAnsi="Arial"/>
          <w:color w:val="555555"/>
          <w:sz w:val="24"/>
          <w:szCs w:val="24"/>
        </w:rPr>
        <w:t xml:space="preserve">University of Miami Miller School of Medicine</w:t>
      </w:r>
    </w:p>
    <w:p>
      <w:pPr>
        <w:spacing w:after="120" w:before="480"/>
        <w:jc w:val="center"/>
      </w:pPr>
      <w:r>
        <w:rPr>
          <w:rFonts w:ascii="Arial" w:cs="Arial" w:eastAsia="Arial" w:hAnsi="Arial"/>
          <w:i/>
          <w:iCs/>
          <w:color w:val="777777"/>
          <w:sz w:val="22"/>
          <w:szCs w:val="22"/>
        </w:rPr>
        <w:t xml:space="preserve">Dataset: EEG Motor Imagery (BIDS v1.7.0)</w:t>
      </w:r>
    </w:p>
    <w:p>
      <w:pPr>
        <w:spacing w:after="120"/>
        <w:jc w:val="center"/>
      </w:pPr>
      <w:r>
        <w:rPr>
          <w:rFonts w:ascii="Arial" w:cs="Arial" w:eastAsia="Arial" w:hAnsi="Arial"/>
          <w:color w:val="777777"/>
          <w:sz w:val="22"/>
          <w:szCs w:val="22"/>
        </w:rPr>
        <w:t xml:space="preserve">11 subjects · Up to 6 sessions · 3 runs per session · 256 Hz · 20 EEG channels</w:t>
      </w:r>
    </w:p>
    <w:p>
      <w:pPr>
        <w:spacing w:before="960"/>
        <w:jc w:val="center"/>
      </w:pPr>
      <w:r>
        <w:rPr>
          <w:rFonts w:ascii="Arial" w:cs="Arial" w:eastAsia="Arial" w:hAnsi="Arial"/>
          <w:b/>
          <w:bCs/>
          <w:sz w:val="24"/>
          <w:szCs w:val="24"/>
        </w:rPr>
        <w:t xml:space="preserve">2025</w:t>
      </w:r>
    </w:p>
    <w:p>
      <w:r>
        <w:br w:type="page"/>
      </w:r>
    </w:p>
    <w:p>
      <w:pPr>
        <w:pStyle w:val="Heading1"/>
      </w:pPr>
      <w:r>
        <w:rPr>
          <w:rFonts w:ascii="Arial" w:cs="Arial" w:eastAsia="Arial" w:hAnsi="Arial"/>
          <w:b/>
          <w:bCs/>
          <w:color w:val="2E4A7A"/>
          <w:sz w:val="36"/>
          <w:szCs w:val="36"/>
        </w:rPr>
        <w:t xml:space="preserve">1. Introduction</w:t>
      </w:r>
    </w:p>
    <w:p>
      <w:pPr>
        <w:spacing w:after="120"/>
      </w:pPr>
      <w:r>
        <w:rPr>
          <w:rFonts w:ascii="Arial" w:cs="Arial" w:eastAsia="Arial" w:hAnsi="Arial"/>
          <w:sz w:val="24"/>
          <w:szCs w:val="24"/>
        </w:rPr>
        <w:t xml:space="preserve">Spinal cord injury (SCI) is one of the most devastating neurological conditions a person can face. In the United States alone, over 33,000 people live with complete tetraplegia — a condition that eliminates voluntary control of both hands and arms. For these individuals, even simple daily tasks become impossible without assistance. Among all the functions they lose, restoration of hand and arm movement consistently ranks as their highest priority, as it would directly translate to greater independence and quality of life.</w:t>
      </w:r>
    </w:p>
    <w:p>
      <w:pPr>
        <w:spacing w:after="120"/>
      </w:pPr>
      <w:r>
        <w:t xml:space="preserve"/>
      </w:r>
    </w:p>
    <w:p>
      <w:pPr>
        <w:spacing w:after="120"/>
      </w:pPr>
      <w:r>
        <w:rPr>
          <w:rFonts w:ascii="Arial" w:cs="Arial" w:eastAsia="Arial" w:hAnsi="Arial"/>
          <w:sz w:val="24"/>
          <w:szCs w:val="24"/>
        </w:rPr>
        <w:t xml:space="preserve">Brain-Computer Interface (BCI) systems offer a promising pathway toward this goal. The core idea is elegant: the brain continues to generate electrical signals associated with intended movement even when the body can no longer carry out that movement. By capturing and decoding those signals in real time, a BCI can translate thought into action — for example, by triggering a Functional Electrical Stimulation (FES) system that electrically activates forearm muscles to open and close the hand.</w:t>
      </w:r>
    </w:p>
    <w:p>
      <w:pPr>
        <w:spacing w:after="120"/>
      </w:pPr>
      <w:r>
        <w:t xml:space="preserve"/>
      </w:r>
    </w:p>
    <w:p>
      <w:pPr>
        <w:spacing w:after="120"/>
      </w:pPr>
      <w:r>
        <w:rPr>
          <w:rFonts w:ascii="Arial" w:cs="Arial" w:eastAsia="Arial" w:hAnsi="Arial"/>
          <w:sz w:val="24"/>
          <w:szCs w:val="24"/>
        </w:rPr>
        <w:t xml:space="preserve">This project focuses on the classification of Motor Imagery (MI) from non-invasive Electroencephalography (EEG) signals. Motor imagery refers to the mental rehearsal of a movement without physically performing it. When a person imagines moving their right hand, specific electrical patterns appear in the motor cortex of the brain — most characteristically, a suppression of oscillatory activity in the mu (8–13 Hz) and beta (13–30 Hz) frequency bands over the sensorimotor areas. This phenomenon, known as Event-Related Desynchronization (ERD), is the physiological fingerprint our classifiers are trained to detect.</w:t>
      </w:r>
    </w:p>
    <w:p>
      <w:pPr>
        <w:spacing w:after="120"/>
      </w:pPr>
      <w:r>
        <w:t xml:space="preserve"/>
      </w:r>
    </w:p>
    <w:p>
      <w:pPr>
        <w:spacing w:after="120"/>
      </w:pPr>
      <w:r>
        <w:rPr>
          <w:rFonts w:ascii="Arial" w:cs="Arial" w:eastAsia="Arial" w:hAnsi="Arial"/>
          <w:sz w:val="24"/>
          <w:szCs w:val="24"/>
        </w:rPr>
        <w:t xml:space="preserve">The clinical stakes are significant: if an SCI subject can learn to reliably produce distinguishable motor imagery signals, a BCI-FES system can decode their intent and deliver the appropriate electrical stimulation to their muscles — effectively restoring functional hand movement through thought alone.</w:t>
      </w:r>
    </w:p>
    <w:p>
      <w:pPr>
        <w:spacing w:after="120"/>
      </w:pPr>
      <w:r>
        <w:t xml:space="preserve"/>
      </w:r>
    </w:p>
    <w:p>
      <w:pPr>
        <w:pStyle w:val="Heading2"/>
      </w:pPr>
      <w:r>
        <w:rPr>
          <w:rFonts w:ascii="Arial" w:cs="Arial" w:eastAsia="Arial" w:hAnsi="Arial"/>
          <w:b/>
          <w:bCs/>
          <w:color w:val="2E4A7A"/>
          <w:sz w:val="28"/>
          <w:szCs w:val="28"/>
        </w:rPr>
        <w:t xml:space="preserve">1.1 Project Objectives</w:t>
      </w:r>
    </w:p>
    <w:p>
      <w:pPr>
        <w:pStyle w:val="ListParagraph"/>
        <w:numPr>
          <w:ilvl w:val="0"/>
          <w:numId w:val="2"/>
        </w:numPr>
        <w:spacing w:after="80"/>
      </w:pPr>
      <w:r>
        <w:rPr>
          <w:rFonts w:ascii="Arial" w:cs="Arial" w:eastAsia="Arial" w:hAnsi="Arial"/>
          <w:sz w:val="24"/>
          <w:szCs w:val="24"/>
        </w:rPr>
        <w:t xml:space="preserve">Design and implement a complete EEG signal processing and machine learning pipeline for real-time MI classification</w:t>
      </w:r>
    </w:p>
    <w:p>
      <w:pPr>
        <w:pStyle w:val="ListParagraph"/>
        <w:numPr>
          <w:ilvl w:val="0"/>
          <w:numId w:val="2"/>
        </w:numPr>
        <w:spacing w:after="80"/>
      </w:pPr>
      <w:r>
        <w:rPr>
          <w:rFonts w:ascii="Arial" w:cs="Arial" w:eastAsia="Arial" w:hAnsi="Arial"/>
          <w:sz w:val="24"/>
          <w:szCs w:val="24"/>
        </w:rPr>
        <w:t xml:space="preserve">Compare four classification approaches spanning classical signal processing and modern deep learning</w:t>
      </w:r>
    </w:p>
    <w:p>
      <w:pPr>
        <w:pStyle w:val="ListParagraph"/>
        <w:numPr>
          <w:ilvl w:val="0"/>
          <w:numId w:val="2"/>
        </w:numPr>
        <w:spacing w:after="80"/>
      </w:pPr>
      <w:r>
        <w:rPr>
          <w:rFonts w:ascii="Arial" w:cs="Arial" w:eastAsia="Arial" w:hAnsi="Arial"/>
          <w:sz w:val="24"/>
          <w:szCs w:val="24"/>
        </w:rPr>
        <w:t xml:space="preserve">Evaluate performance across a clinically relevant dataset of 11 subjects (SCI patients and healthy controls) over multiple sessions</w:t>
      </w:r>
    </w:p>
    <w:p>
      <w:pPr>
        <w:pStyle w:val="ListParagraph"/>
        <w:numPr>
          <w:ilvl w:val="0"/>
          <w:numId w:val="2"/>
        </w:numPr>
        <w:spacing w:after="80"/>
      </w:pPr>
      <w:r>
        <w:rPr>
          <w:rFonts w:ascii="Arial" w:cs="Arial" w:eastAsia="Arial" w:hAnsi="Arial"/>
          <w:sz w:val="24"/>
          <w:szCs w:val="24"/>
        </w:rPr>
        <w:t xml:space="preserve">Assess the feasibility of real-time deployment through sliding-window inference simulation</w:t>
      </w:r>
    </w:p>
    <w:p>
      <w:pPr>
        <w:pStyle w:val="ListParagraph"/>
        <w:numPr>
          <w:ilvl w:val="0"/>
          <w:numId w:val="2"/>
        </w:numPr>
        <w:spacing w:after="80"/>
      </w:pPr>
      <w:r>
        <w:rPr>
          <w:rFonts w:ascii="Arial" w:cs="Arial" w:eastAsia="Arial" w:hAnsi="Arial"/>
          <w:sz w:val="24"/>
          <w:szCs w:val="24"/>
        </w:rPr>
        <w:t xml:space="preserve">Identify which approaches best generalize across subjects and sessions</w:t>
      </w:r>
    </w:p>
    <w:p>
      <w:pPr>
        <w:spacing w:after="120"/>
      </w:pPr>
      <w:r>
        <w:t xml:space="preserve"/>
      </w:r>
    </w:p>
    <w:p>
      <w:pPr>
        <w:pStyle w:val="Heading1"/>
      </w:pPr>
      <w:r>
        <w:rPr>
          <w:rFonts w:ascii="Arial" w:cs="Arial" w:eastAsia="Arial" w:hAnsi="Arial"/>
          <w:b/>
          <w:bCs/>
          <w:color w:val="2E4A7A"/>
          <w:sz w:val="36"/>
          <w:szCs w:val="36"/>
        </w:rPr>
        <w:t xml:space="preserve">2. Dataset</w:t>
      </w:r>
    </w:p>
    <w:p>
      <w:pPr>
        <w:pStyle w:val="Heading2"/>
      </w:pPr>
      <w:r>
        <w:rPr>
          <w:rFonts w:ascii="Arial" w:cs="Arial" w:eastAsia="Arial" w:hAnsi="Arial"/>
          <w:b/>
          <w:bCs/>
          <w:color w:val="2E4A7A"/>
          <w:sz w:val="28"/>
          <w:szCs w:val="28"/>
        </w:rPr>
        <w:t xml:space="preserve">2.1 Study Design</w:t>
      </w:r>
    </w:p>
    <w:p>
      <w:pPr>
        <w:spacing w:after="120"/>
      </w:pPr>
      <w:r>
        <w:rPr>
          <w:rFonts w:ascii="Arial" w:cs="Arial" w:eastAsia="Arial" w:hAnsi="Arial"/>
          <w:sz w:val="24"/>
          <w:szCs w:val="24"/>
        </w:rPr>
        <w:t xml:space="preserve">The dataset was collected at the University of Miami Miller School of Medicine (Department of Biomedical Engineering) and is structured according to the Brain Imaging Data Structure (BIDS) standard version 1.7.0. It contains EEG recordings from a BCI-FES experiment in which subjects performed motor imagery of right-hand movement.</w:t>
      </w:r>
    </w:p>
    <w:p>
      <w:pPr>
        <w:spacing w:after="120"/>
      </w:pPr>
      <w:r>
        <w:t xml:space="preserve"/>
      </w:r>
    </w:p>
    <w:p>
      <w:pPr>
        <w:spacing w:after="120"/>
      </w:pPr>
      <w:r>
        <w:rPr>
          <w:rFonts w:ascii="Arial" w:cs="Arial" w:eastAsia="Arial" w:hAnsi="Arial"/>
          <w:sz w:val="24"/>
          <w:szCs w:val="24"/>
        </w:rPr>
        <w:t xml:space="preserve">The experimental paradigm consisted of 40 trials per run. Each trial followed a fixed temporal structure: a 3-second rest period (baseline), followed by a 5-second action period during which the subject was instructed to imagine moving their dominant hand. The rest and action periods are labeled in the events files as 'rest' and 'action' respectively.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Parameter</w:t>
            </w:r>
          </w:p>
        </w:tc>
        <w:tc>
          <w:tcPr>
            <w:tcW w:type="dxa" w:w="58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Total subjects</w:t>
            </w:r>
          </w:p>
        </w:tc>
        <w:tc>
          <w:tcPr>
            <w:tcW w:type="dxa" w:w="58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Clinical groups</w:t>
            </w:r>
          </w:p>
        </w:tc>
        <w:tc>
          <w:tcPr>
            <w:tcW w:type="dxa" w:w="58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SCI patients (C5/C6 motor-complete) and uninjured controls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Sessions per subject</w:t>
            </w:r>
          </w:p>
        </w:tc>
        <w:tc>
          <w:tcPr>
            <w:tcW w:type="dxa" w:w="58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 (except sub-02: 4 sessions)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Runs per session</w:t>
            </w:r>
          </w:p>
        </w:tc>
        <w:tc>
          <w:tcPr>
            <w:tcW w:type="dxa" w:w="58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Trials per run</w:t>
            </w:r>
          </w:p>
        </w:tc>
        <w:tc>
          <w:tcPr>
            <w:tcW w:type="dxa" w:w="58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40 (20 action + 20 rest)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Recording device</w:t>
            </w:r>
          </w:p>
        </w:tc>
        <w:tc>
          <w:tcPr>
            <w:tcW w:type="dxa" w:w="58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Advanced Brain Monitoring B-Alert X24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EEG channels</w:t>
            </w:r>
          </w:p>
        </w:tc>
        <w:tc>
          <w:tcPr>
            <w:tcW w:type="dxa" w:w="58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20 (10-20 placement scheme)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Sampling frequency</w:t>
            </w:r>
          </w:p>
        </w:tc>
        <w:tc>
          <w:tcPr>
            <w:tcW w:type="dxa" w:w="58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256 Hz</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Reference electrode</w:t>
            </w:r>
          </w:p>
        </w:tc>
        <w:tc>
          <w:tcPr>
            <w:tcW w:type="dxa" w:w="58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Mastoid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Power line frequency</w:t>
            </w:r>
          </w:p>
        </w:tc>
        <w:tc>
          <w:tcPr>
            <w:tcW w:type="dxa" w:w="58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60 Hz</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Task classes</w:t>
            </w:r>
          </w:p>
        </w:tc>
        <w:tc>
          <w:tcPr>
            <w:tcW w:type="dxa" w:w="58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 (action vs. rest)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Recording duration</w:t>
            </w:r>
          </w:p>
        </w:tc>
        <w:tc>
          <w:tcPr>
            <w:tcW w:type="dxa" w:w="58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~665 seconds per run</w:t>
            </w:r>
          </w:p>
        </w:tc>
      </w:tr>
    </w:tbl>
    <w:p>
      <w:pPr>
        <w:spacing w:after="120"/>
      </w:pPr>
      <w:r>
        <w:t xml:space="preserve"/>
      </w:r>
    </w:p>
    <w:p>
      <w:pPr>
        <w:pStyle w:val="Heading2"/>
      </w:pPr>
      <w:r>
        <w:rPr>
          <w:rFonts w:ascii="Arial" w:cs="Arial" w:eastAsia="Arial" w:hAnsi="Arial"/>
          <w:b/>
          <w:bCs/>
          <w:color w:val="2E4A7A"/>
          <w:sz w:val="28"/>
          <w:szCs w:val="28"/>
        </w:rPr>
        <w:t xml:space="preserve">2.2 EEG Channel Layout</w:t>
      </w:r>
    </w:p>
    <w:p>
      <w:pPr>
        <w:spacing w:after="120"/>
      </w:pPr>
      <w:r>
        <w:rPr>
          <w:rFonts w:ascii="Arial" w:cs="Arial" w:eastAsia="Arial" w:hAnsi="Arial"/>
          <w:sz w:val="24"/>
          <w:szCs w:val="24"/>
        </w:rPr>
        <w:t xml:space="preserve">The 20 EEG channels follow the standard 10-20 international placement scheme. The channels are distributed across four cortical regions: frontal (F3, F1, Fz, F2, F4), central (C3, C1, Cz, C2, C4), centroparietal (CPz), parietal (P3, P1, Pz, P2, P4), and occipital (POz, O1, Oz, O2). The central channels C3, C1, Cz, C2, and C4 are of particular clinical importance for this task, as they overlie the primary motor cortex and are where ERD/ERS (event-related synchronization) phenomena associated with motor imagery are most pronounced.</w:t>
      </w:r>
    </w:p>
    <w:p>
      <w:pPr>
        <w:spacing w:after="120"/>
      </w:pPr>
      <w:r>
        <w:t xml:space="preserve"/>
      </w:r>
    </w:p>
    <w:p>
      <w:pPr>
        <w:spacing w:after="120"/>
      </w:pPr>
      <w:r>
        <w:rPr>
          <w:rFonts w:ascii="Arial" w:cs="Arial" w:eastAsia="Arial" w:hAnsi="Arial"/>
          <w:sz w:val="24"/>
          <w:szCs w:val="24"/>
        </w:rPr>
        <w:t xml:space="preserve">Additional channels included in the recordings (EKG, AUX1–3) were excluded from all analyses, as they capture cardiac and auxiliary signals rather than neural activity.</w:t>
      </w:r>
    </w:p>
    <w:p>
      <w:pPr>
        <w:spacing w:after="120"/>
      </w:pPr>
      <w:r>
        <w:t xml:space="preserve"/>
      </w:r>
    </w:p>
    <w:p>
      <w:pPr>
        <w:pStyle w:val="Heading2"/>
      </w:pPr>
      <w:r>
        <w:rPr>
          <w:rFonts w:ascii="Arial" w:cs="Arial" w:eastAsia="Arial" w:hAnsi="Arial"/>
          <w:b/>
          <w:bCs/>
          <w:color w:val="2E4A7A"/>
          <w:sz w:val="28"/>
          <w:szCs w:val="28"/>
        </w:rPr>
        <w:t xml:space="preserve">2.3 Class Balance</w:t>
      </w:r>
    </w:p>
    <w:p>
      <w:pPr>
        <w:spacing w:after="120"/>
      </w:pPr>
      <w:r>
        <w:rPr>
          <w:rFonts w:ascii="Arial" w:cs="Arial" w:eastAsia="Arial" w:hAnsi="Arial"/>
          <w:sz w:val="24"/>
          <w:szCs w:val="24"/>
        </w:rPr>
        <w:t xml:space="preserve">The dataset is perfectly balanced: every run contains exactly 40 action epochs and 40 rest epochs. This balance is important because it means a classifier that always predicts the majority class would achieve exactly 50% accuracy — establishing a clear and fair chance baseline against which all methods are compared.</w:t>
      </w:r>
    </w:p>
    <w:p>
      <w:pPr>
        <w:spacing w:after="120"/>
      </w:pPr>
      <w:r>
        <w:t xml:space="preserve"/>
      </w:r>
    </w:p>
    <w:p>
      <w:pPr>
        <w:pStyle w:val="Heading1"/>
      </w:pPr>
      <w:r>
        <w:rPr>
          <w:rFonts w:ascii="Arial" w:cs="Arial" w:eastAsia="Arial" w:hAnsi="Arial"/>
          <w:b/>
          <w:bCs/>
          <w:color w:val="2E4A7A"/>
          <w:sz w:val="36"/>
          <w:szCs w:val="36"/>
        </w:rPr>
        <w:t xml:space="preserve">3. Methods</w:t>
      </w:r>
    </w:p>
    <w:p>
      <w:pPr>
        <w:pStyle w:val="Heading2"/>
      </w:pPr>
      <w:r>
        <w:rPr>
          <w:rFonts w:ascii="Arial" w:cs="Arial" w:eastAsia="Arial" w:hAnsi="Arial"/>
          <w:b/>
          <w:bCs/>
          <w:color w:val="2E4A7A"/>
          <w:sz w:val="28"/>
          <w:szCs w:val="28"/>
        </w:rPr>
        <w:t xml:space="preserve">3.1 Signal Preprocessing</w:t>
      </w:r>
    </w:p>
    <w:p>
      <w:pPr>
        <w:spacing w:after="120"/>
      </w:pPr>
      <w:r>
        <w:rPr>
          <w:rFonts w:ascii="Arial" w:cs="Arial" w:eastAsia="Arial" w:hAnsi="Arial"/>
          <w:sz w:val="24"/>
          <w:szCs w:val="24"/>
        </w:rPr>
        <w:t xml:space="preserve">All EEG recordings underwent a standardized preprocessing pipeline before being passed to any classifier. The steps were applied identically across all four methods to ensure a fair comparison.</w:t>
      </w:r>
    </w:p>
    <w:p>
      <w:pPr>
        <w:spacing w:after="120"/>
      </w:pPr>
      <w:r>
        <w:t xml:space="preserve"/>
      </w:r>
    </w:p>
    <w:p>
      <w:pPr>
        <w:pStyle w:val="Heading3"/>
      </w:pPr>
      <w:r>
        <w:rPr>
          <w:rFonts w:ascii="Arial" w:cs="Arial" w:eastAsia="Arial" w:hAnsi="Arial"/>
          <w:b/>
          <w:bCs/>
          <w:color w:val="4472C4"/>
          <w:sz w:val="24"/>
          <w:szCs w:val="24"/>
        </w:rPr>
        <w:t xml:space="preserve">3.1.1 Bandpass Filtering</w:t>
      </w:r>
    </w:p>
    <w:p>
      <w:pPr>
        <w:spacing w:after="120"/>
      </w:pPr>
      <w:r>
        <w:rPr>
          <w:rFonts w:ascii="Arial" w:cs="Arial" w:eastAsia="Arial" w:hAnsi="Arial"/>
          <w:sz w:val="24"/>
          <w:szCs w:val="24"/>
        </w:rPr>
        <w:t xml:space="preserve">A 4th-order zero-phase Butterworth bandpass filter was applied between 8 and 30 Hz. This frequency range captures both the mu rhythm (8–13 Hz) and the beta rhythm (13–30 Hz), which are the two oscillatory components most strongly modulated by motor imagery. Frequencies outside this range (slow drifts, line noise at 60 Hz, high-frequency muscle artifacts) were attenuated.</w:t>
      </w:r>
    </w:p>
    <w:p>
      <w:pPr>
        <w:spacing w:after="120"/>
      </w:pPr>
      <w:r>
        <w:t xml:space="preserve"/>
      </w:r>
    </w:p>
    <w:p>
      <w:pPr>
        <w:pStyle w:val="Heading3"/>
      </w:pPr>
      <w:r>
        <w:rPr>
          <w:rFonts w:ascii="Arial" w:cs="Arial" w:eastAsia="Arial" w:hAnsi="Arial"/>
          <w:b/>
          <w:bCs/>
          <w:color w:val="4472C4"/>
          <w:sz w:val="24"/>
          <w:szCs w:val="24"/>
        </w:rPr>
        <w:t xml:space="preserve">3.1.2 Epoching</w:t>
      </w:r>
    </w:p>
    <w:p>
      <w:pPr>
        <w:spacing w:after="120"/>
      </w:pPr>
      <w:r>
        <w:rPr>
          <w:rFonts w:ascii="Arial" w:cs="Arial" w:eastAsia="Arial" w:hAnsi="Arial"/>
          <w:sz w:val="24"/>
          <w:szCs w:val="24"/>
        </w:rPr>
        <w:t xml:space="preserve">Continuous EEG recordings were segmented into epochs time-locked to the trial onset markers stored in the events.tsv files. Each epoch spanned from 0.5 to 4.5 seconds after the cue onset, yielding 4-second windows of 1025 time samples. The 500 ms delay before epoch onset was intentional: it allows the initial visual response to the cue to subside before motor imagery-related activity begins.</w:t>
      </w:r>
    </w:p>
    <w:p>
      <w:pPr>
        <w:spacing w:after="120"/>
      </w:pPr>
      <w:r>
        <w:t xml:space="preserve"/>
      </w:r>
    </w:p>
    <w:p>
      <w:pPr>
        <w:pStyle w:val="Heading3"/>
      </w:pPr>
      <w:r>
        <w:rPr>
          <w:rFonts w:ascii="Arial" w:cs="Arial" w:eastAsia="Arial" w:hAnsi="Arial"/>
          <w:b/>
          <w:bCs/>
          <w:color w:val="4472C4"/>
          <w:sz w:val="24"/>
          <w:szCs w:val="24"/>
        </w:rPr>
        <w:t xml:space="preserve">3.1.3 Artifact Rejection</w:t>
      </w:r>
    </w:p>
    <w:p>
      <w:pPr>
        <w:spacing w:after="120"/>
      </w:pPr>
      <w:r>
        <w:rPr>
          <w:rFonts w:ascii="Arial" w:cs="Arial" w:eastAsia="Arial" w:hAnsi="Arial"/>
          <w:sz w:val="24"/>
          <w:szCs w:val="24"/>
        </w:rPr>
        <w:t xml:space="preserve">A simple amplitude threshold of 100 µV was applied to discard epochs contaminated by large artifacts such as eye blinks, muscle bursts, or electrode pop artifacts. Any epoch in which the absolute amplitude exceeded this threshold in any channel was removed from the dataset. This conservative approach prioritizes data quality over quantity.</w:t>
      </w:r>
    </w:p>
    <w:p>
      <w:pPr>
        <w:spacing w:after="120"/>
      </w:pPr>
      <w:r>
        <w:t xml:space="preserve"/>
      </w:r>
    </w:p>
    <w:p>
      <w:pPr>
        <w:pStyle w:val="Heading3"/>
      </w:pPr>
      <w:r>
        <w:rPr>
          <w:rFonts w:ascii="Arial" w:cs="Arial" w:eastAsia="Arial" w:hAnsi="Arial"/>
          <w:b/>
          <w:bCs/>
          <w:color w:val="4472C4"/>
          <w:sz w:val="24"/>
          <w:szCs w:val="24"/>
        </w:rPr>
        <w:t xml:space="preserve">3.1.4 Normalization</w:t>
      </w:r>
    </w:p>
    <w:p>
      <w:pPr>
        <w:spacing w:after="120"/>
      </w:pPr>
      <w:r>
        <w:rPr>
          <w:rFonts w:ascii="Arial" w:cs="Arial" w:eastAsia="Arial" w:hAnsi="Arial"/>
          <w:sz w:val="24"/>
          <w:szCs w:val="24"/>
        </w:rPr>
        <w:t xml:space="preserve">Each epoch was independently z-score normalized on a per-channel basis: for each channel within each epoch, the mean was subtracted and the result was divided by the standard deviation. This step ensures that no single channel dominates the classifier input due to differences in absolute amplitude, and that the classifier generalizes across sessions and subjects despite natural variations in electrode impedance and signal amplitude.</w:t>
      </w:r>
    </w:p>
    <w:p>
      <w:pPr>
        <w:spacing w:after="120"/>
      </w:pPr>
      <w:r>
        <w:t xml:space="preserve"/>
      </w:r>
    </w:p>
    <w:p>
      <w:pPr>
        <w:pStyle w:val="Heading2"/>
      </w:pPr>
      <w:r>
        <w:rPr>
          <w:rFonts w:ascii="Arial" w:cs="Arial" w:eastAsia="Arial" w:hAnsi="Arial"/>
          <w:b/>
          <w:bCs/>
          <w:color w:val="2E4A7A"/>
          <w:sz w:val="28"/>
          <w:szCs w:val="28"/>
        </w:rPr>
        <w:t xml:space="preserve">3.2 Evaluation Protocol</w:t>
      </w:r>
    </w:p>
    <w:p>
      <w:pPr>
        <w:spacing w:after="120"/>
      </w:pPr>
      <w:r>
        <w:rPr>
          <w:rFonts w:ascii="Arial" w:cs="Arial" w:eastAsia="Arial" w:hAnsi="Arial"/>
          <w:sz w:val="24"/>
          <w:szCs w:val="24"/>
        </w:rPr>
        <w:t xml:space="preserve">All methods were evaluated using Leave-One-Run-Out Cross-Validation (LORO-CV) within each session. With 3 runs per session, this creates 3 folds per session: in each fold, the model is trained on 2 runs and tested on the remaining 1 run. The held-out test run is never seen during training, making the evaluation a genuine test of generalization.</w:t>
      </w:r>
    </w:p>
    <w:p>
      <w:pPr>
        <w:spacing w:after="120"/>
      </w:pPr>
      <w:r>
        <w:t xml:space="preserve"/>
      </w:r>
    </w:p>
    <w:p>
      <w:pPr>
        <w:spacing w:after="120"/>
      </w:pPr>
      <w:r>
        <w:rPr>
          <w:rFonts w:ascii="Arial" w:cs="Arial" w:eastAsia="Arial" w:hAnsi="Arial"/>
          <w:sz w:val="24"/>
          <w:szCs w:val="24"/>
        </w:rPr>
        <w:t xml:space="preserve">This evaluation protocol has direct clinical relevance: in a real BCI deployment, a new session begins with a calibration phase (using prior runs as training data) and then switches to online classification. LORO-CV mimics this scenario faithfully.</w:t>
      </w:r>
    </w:p>
    <w:p>
      <w:pPr>
        <w:spacing w:after="120"/>
      </w:pPr>
      <w:r>
        <w:t xml:space="preserve"/>
      </w:r>
    </w:p>
    <w:p>
      <w:pPr>
        <w:spacing w:after="120"/>
      </w:pPr>
      <w:r>
        <w:rPr>
          <w:rFonts w:ascii="Arial" w:cs="Arial" w:eastAsia="Arial" w:hAnsi="Arial"/>
          <w:sz w:val="24"/>
          <w:szCs w:val="24"/>
        </w:rPr>
        <w:t xml:space="preserve">Primary performance metrics were classification accuracy and balanced accuracy. Since the dataset is perfectly balanced (50/50 classes), these two metrics are nearly identical — but balanced accuracy is reported as the primary metric in cases of slight class imbalance after artifact rejection.</w:t>
      </w:r>
    </w:p>
    <w:p>
      <w:pPr>
        <w:spacing w:after="120"/>
      </w:pPr>
      <w:r>
        <w:t xml:space="preserve"/>
      </w:r>
    </w:p>
    <w:p>
      <w:pPr>
        <w:pStyle w:val="Heading2"/>
      </w:pPr>
      <w:r>
        <w:rPr>
          <w:rFonts w:ascii="Arial" w:cs="Arial" w:eastAsia="Arial" w:hAnsi="Arial"/>
          <w:b/>
          <w:bCs/>
          <w:color w:val="2E4A7A"/>
          <w:sz w:val="28"/>
          <w:szCs w:val="28"/>
        </w:rPr>
        <w:t xml:space="preserve">3.3 Classification Methods</w:t>
      </w:r>
    </w:p>
    <w:p>
      <w:pPr>
        <w:spacing w:after="120"/>
      </w:pPr>
      <w:r>
        <w:rPr>
          <w:rFonts w:ascii="Arial" w:cs="Arial" w:eastAsia="Arial" w:hAnsi="Arial"/>
          <w:sz w:val="24"/>
          <w:szCs w:val="24"/>
        </w:rPr>
        <w:t xml:space="preserve">Four classification approaches were implemented and evaluated, progressing from classical signal processing techniques to modern deep learning architectures. Each is described below.</w:t>
      </w:r>
    </w:p>
    <w:p>
      <w:pPr>
        <w:spacing w:after="120"/>
      </w:pPr>
      <w:r>
        <w:t xml:space="preserve"/>
      </w:r>
    </w:p>
    <w:p>
      <w:pPr>
        <w:pStyle w:val="Heading3"/>
      </w:pPr>
      <w:r>
        <w:rPr>
          <w:rFonts w:ascii="Arial" w:cs="Arial" w:eastAsia="Arial" w:hAnsi="Arial"/>
          <w:b/>
          <w:bCs/>
          <w:color w:val="4472C4"/>
          <w:sz w:val="24"/>
          <w:szCs w:val="24"/>
        </w:rPr>
        <w:t xml:space="preserve">3.3.1 Common Spatial Patterns + Linear Discriminant Analysis (CSP+LDA)</w:t>
      </w:r>
    </w:p>
    <w:p>
      <w:pPr>
        <w:spacing w:after="120"/>
      </w:pPr>
      <w:r>
        <w:rPr>
          <w:rFonts w:ascii="Arial" w:cs="Arial" w:eastAsia="Arial" w:hAnsi="Arial"/>
          <w:sz w:val="24"/>
          <w:szCs w:val="24"/>
        </w:rPr>
        <w:t xml:space="preserve">CSP+LDA is the classical gold-standard method for EEG-based motor imagery classification, used in the vast majority of BCI competition entries and referenced in the original study. CSP is a spatial filtering technique that finds linear combinations of EEG channels (spatial filters) that maximize the variance ratio between the two classes. Intuitively, it finds weighted combinations of electrodes that produce the largest and most class-discriminative signals.</w:t>
      </w:r>
    </w:p>
    <w:p>
      <w:pPr>
        <w:spacing w:after="120"/>
      </w:pPr>
      <w:r>
        <w:t xml:space="preserve"/>
      </w:r>
    </w:p>
    <w:p>
      <w:pPr>
        <w:spacing w:after="120"/>
      </w:pPr>
      <w:r>
        <w:rPr>
          <w:rFonts w:ascii="Arial" w:cs="Arial" w:eastAsia="Arial" w:hAnsi="Arial"/>
          <w:sz w:val="24"/>
          <w:szCs w:val="24"/>
        </w:rPr>
        <w:t xml:space="preserve">The CSP algorithm solves a generalized eigenvalue problem: given the class-conditional covariance matrices </w:t>
      </w:r>
      <w:r>
        <w:rPr>
          <w:rFonts w:ascii="Arial" w:cs="Arial" w:eastAsia="Arial" w:hAnsi="Arial"/>
          <w:i/>
          <w:iCs/>
          <w:sz w:val="24"/>
          <w:szCs w:val="24"/>
        </w:rPr>
        <w:t xml:space="preserve">Σ₁</w:t>
      </w:r>
      <w:r>
        <w:rPr>
          <w:rFonts w:ascii="Arial" w:cs="Arial" w:eastAsia="Arial" w:hAnsi="Arial"/>
          <w:sz w:val="24"/>
          <w:szCs w:val="24"/>
        </w:rPr>
        <w:t xml:space="preserve"> and </w:t>
      </w:r>
      <w:r>
        <w:rPr>
          <w:rFonts w:ascii="Arial" w:cs="Arial" w:eastAsia="Arial" w:hAnsi="Arial"/>
          <w:i/>
          <w:iCs/>
          <w:sz w:val="24"/>
          <w:szCs w:val="24"/>
        </w:rPr>
        <w:t xml:space="preserve">Σ₂</w:t>
      </w:r>
      <w:r>
        <w:rPr>
          <w:rFonts w:ascii="Arial" w:cs="Arial" w:eastAsia="Arial" w:hAnsi="Arial"/>
          <w:sz w:val="24"/>
          <w:szCs w:val="24"/>
        </w:rPr>
        <w:t xml:space="preserve">, it finds a projection matrix </w:t>
      </w:r>
      <w:r>
        <w:rPr>
          <w:rFonts w:ascii="Arial" w:cs="Arial" w:eastAsia="Arial" w:hAnsi="Arial"/>
          <w:i/>
          <w:iCs/>
          <w:sz w:val="24"/>
          <w:szCs w:val="24"/>
        </w:rPr>
        <w:t xml:space="preserve">W</w:t>
      </w:r>
      <w:r>
        <w:rPr>
          <w:rFonts w:ascii="Arial" w:cs="Arial" w:eastAsia="Arial" w:hAnsi="Arial"/>
          <w:sz w:val="24"/>
          <w:szCs w:val="24"/>
        </w:rPr>
        <w:t xml:space="preserve"> such that </w:t>
      </w:r>
      <w:r>
        <w:rPr>
          <w:rFonts w:ascii="Arial" w:cs="Arial" w:eastAsia="Arial" w:hAnsi="Arial"/>
          <w:i/>
          <w:iCs/>
          <w:sz w:val="24"/>
          <w:szCs w:val="24"/>
        </w:rPr>
        <w:t xml:space="preserve">W'Σ₁W</w:t>
      </w:r>
      <w:r>
        <w:rPr>
          <w:rFonts w:ascii="Arial" w:cs="Arial" w:eastAsia="Arial" w:hAnsi="Arial"/>
          <w:sz w:val="24"/>
          <w:szCs w:val="24"/>
        </w:rPr>
        <w:t xml:space="preserve"> is diagonal and </w:t>
      </w:r>
      <w:r>
        <w:rPr>
          <w:rFonts w:ascii="Arial" w:cs="Arial" w:eastAsia="Arial" w:hAnsi="Arial"/>
          <w:i/>
          <w:iCs/>
          <w:sz w:val="24"/>
          <w:szCs w:val="24"/>
        </w:rPr>
        <w:t xml:space="preserve">W'Σ₂W = I</w:t>
      </w:r>
      <w:r>
        <w:rPr>
          <w:rFonts w:ascii="Arial" w:cs="Arial" w:eastAsia="Arial" w:hAnsi="Arial"/>
          <w:sz w:val="24"/>
          <w:szCs w:val="24"/>
        </w:rPr>
        <w:t xml:space="preserve">. The resulting filters simultaneously maximize variance for one class while minimizing it for the other — perfectly suited for ERD/ERS-based motor imagery.</w:t>
      </w:r>
    </w:p>
    <w:p>
      <w:pPr>
        <w:spacing w:after="120"/>
      </w:pPr>
      <w:r>
        <w:t xml:space="preserve"/>
      </w:r>
    </w:p>
    <w:p>
      <w:pPr>
        <w:spacing w:after="120"/>
      </w:pPr>
      <w:r>
        <w:rPr>
          <w:rFonts w:ascii="Arial" w:cs="Arial" w:eastAsia="Arial" w:hAnsi="Arial"/>
          <w:sz w:val="24"/>
          <w:szCs w:val="24"/>
        </w:rPr>
        <w:t xml:space="preserve">In this implementation, 6 spatial filters (3 per class) were extracted. The log-variance of the filtered signals was computed as the feature vector, yielding a 6-dimensional representation per epoch. These features were then passed to a Linear Discriminant Analysis (LDA) classifier with singular value decomposition (SVD) solver, which finds the linear boundary that maximally separates the two classes.</w:t>
      </w:r>
    </w:p>
    <w:p>
      <w:pPr>
        <w:spacing w:after="120"/>
      </w:pPr>
      <w:r>
        <w:t xml:space="preserve"/>
      </w:r>
    </w:p>
    <w:p>
      <w:pPr>
        <w:spacing w:after="120"/>
      </w:pPr>
      <w:r>
        <w:rPr>
          <w:rFonts w:ascii="Arial" w:cs="Arial" w:eastAsia="Arial" w:hAnsi="Arial"/>
          <w:sz w:val="24"/>
          <w:szCs w:val="24"/>
        </w:rPr>
        <w:t xml:space="preserve">Key advantages of CSP+LDA: extremely fast training (milliseconds), highly interpretable spatial filters, and strong performance on datasets where ERD/ERS patterns are clean and consistent. Key limitation: it assumes that the discriminative information lies in second-order statistics (covariance structure), which may miss more complex temporal dynamics.</w:t>
      </w:r>
    </w:p>
    <w:p>
      <w:pPr>
        <w:spacing w:after="120"/>
      </w:pPr>
      <w:r>
        <w:t xml:space="preserve"/>
      </w:r>
    </w:p>
    <w:p>
      <w:pPr>
        <w:pStyle w:val="Heading3"/>
      </w:pPr>
      <w:r>
        <w:rPr>
          <w:rFonts w:ascii="Arial" w:cs="Arial" w:eastAsia="Arial" w:hAnsi="Arial"/>
          <w:b/>
          <w:bCs/>
          <w:color w:val="4472C4"/>
          <w:sz w:val="24"/>
          <w:szCs w:val="24"/>
        </w:rPr>
        <w:t xml:space="preserve">3.3.2 Band-Power Support Vector Machine (Band-Power SVM)</w:t>
      </w:r>
    </w:p>
    <w:p>
      <w:pPr>
        <w:spacing w:after="120"/>
      </w:pPr>
      <w:r>
        <w:rPr>
          <w:rFonts w:ascii="Arial" w:cs="Arial" w:eastAsia="Arial" w:hAnsi="Arial"/>
          <w:sz w:val="24"/>
          <w:szCs w:val="24"/>
        </w:rPr>
        <w:t xml:space="preserve">This approach directly replicates the feature extraction method described in the original publication. Log-transformed band-power features were extracted from the 5 motor-imagery relevant channels (C3, C1, Cz, C2, C4) in six frequency bins of 5 Hz width spanning 6 to 35 Hz: [6–11], [11–16], [16–21], [21–26], [26–31], [31–36] Hz. This yields 5 channels × 6 bins = 30 features per epoch.</w:t>
      </w:r>
    </w:p>
    <w:p>
      <w:pPr>
        <w:spacing w:after="120"/>
      </w:pPr>
      <w:r>
        <w:t xml:space="preserve"/>
      </w:r>
    </w:p>
    <w:p>
      <w:pPr>
        <w:spacing w:after="120"/>
      </w:pPr>
      <w:r>
        <w:rPr>
          <w:rFonts w:ascii="Arial" w:cs="Arial" w:eastAsia="Arial" w:hAnsi="Arial"/>
          <w:sz w:val="24"/>
          <w:szCs w:val="24"/>
        </w:rPr>
        <w:t xml:space="preserve">Power spectral density was estimated using Welch's method with a 128-sample (0.5 s) window. Log-transformation was applied to normalize the power distribution and reduce sensitivity to amplitude outliers. Features were z-score normalized using a StandardScaler, and an RBF (radial basis function) kernel SVM with C=1.0 and gamma='scale' was used as the classifier.</w:t>
      </w:r>
    </w:p>
    <w:p>
      <w:pPr>
        <w:spacing w:after="120"/>
      </w:pPr>
      <w:r>
        <w:t xml:space="preserve"/>
      </w:r>
    </w:p>
    <w:p>
      <w:pPr>
        <w:spacing w:after="120"/>
      </w:pPr>
      <w:r>
        <w:rPr>
          <w:rFonts w:ascii="Arial" w:cs="Arial" w:eastAsia="Arial" w:hAnsi="Arial"/>
          <w:sz w:val="24"/>
          <w:szCs w:val="24"/>
        </w:rPr>
        <w:t xml:space="preserve">This method has the advantage of being directly comparable to the published results (74.8% SCI, 75.5% controls in the original paper). However, it only uses information from 5 channels and relies on pre-specified frequency bins, potentially missing spatial information from other electrodes and interaction effects between frequency bands.</w:t>
      </w:r>
    </w:p>
    <w:p>
      <w:pPr>
        <w:spacing w:after="120"/>
      </w:pPr>
      <w:r>
        <w:t xml:space="preserve"/>
      </w:r>
    </w:p>
    <w:p>
      <w:pPr>
        <w:pStyle w:val="Heading3"/>
      </w:pPr>
      <w:r>
        <w:rPr>
          <w:rFonts w:ascii="Arial" w:cs="Arial" w:eastAsia="Arial" w:hAnsi="Arial"/>
          <w:b/>
          <w:bCs/>
          <w:color w:val="4472C4"/>
          <w:sz w:val="24"/>
          <w:szCs w:val="24"/>
        </w:rPr>
        <w:t xml:space="preserve">3.3.3 EEGNet</w:t>
      </w:r>
    </w:p>
    <w:p>
      <w:pPr>
        <w:spacing w:after="120"/>
      </w:pPr>
      <w:r>
        <w:rPr>
          <w:rFonts w:ascii="Arial" w:cs="Arial" w:eastAsia="Arial" w:hAnsi="Arial"/>
          <w:sz w:val="24"/>
          <w:szCs w:val="24"/>
        </w:rPr>
        <w:t xml:space="preserve">EEGNet (Lawhern et al., 2018, Journal of Neural Engineering) is a compact convolutional neural network designed specifically for EEG-based BCIs. Its architecture was carefully engineered to reflect the signal processing operations that neuroscientists apply manually: temporal filtering, spatial filtering, and feature extraction from time-frequency representations.</w:t>
      </w:r>
    </w:p>
    <w:p>
      <w:pPr>
        <w:spacing w:after="120"/>
      </w:pPr>
      <w:r>
        <w:t xml:space="preserve"/>
      </w:r>
    </w:p>
    <w:p>
      <w:pPr>
        <w:spacing w:after="120"/>
      </w:pPr>
      <w:r>
        <w:rPr>
          <w:rFonts w:ascii="Arial" w:cs="Arial" w:eastAsia="Arial" w:hAnsi="Arial"/>
          <w:sz w:val="24"/>
          <w:szCs w:val="24"/>
        </w:rPr>
        <w:t xml:space="preserve">The architecture consists of three blocks. The first block applies a temporal convolution with a kernel spanning half the sampling frequency (128 samples = 0.5 s), followed by a depthwise spatial convolution across all EEG channels — equivalent to learning a set of spatial filters. The second block applies a separable convolution (depthwise followed by pointwise) to extract higher-level temporal features while keeping parameter count low. Batch normalization, ELU activations, average pooling, and dropout are applied throughout.</w:t>
      </w:r>
    </w:p>
    <w:p>
      <w:pPr>
        <w:spacing w:after="120"/>
      </w:pPr>
      <w:r>
        <w:t xml:space="preserve"/>
      </w:r>
    </w:p>
    <w:p>
      <w:pPr>
        <w:spacing w:after="120"/>
      </w:pPr>
      <w:r>
        <w:rPr>
          <w:rFonts w:ascii="Arial" w:cs="Arial" w:eastAsia="Arial" w:hAnsi="Arial"/>
          <w:sz w:val="24"/>
          <w:szCs w:val="24"/>
        </w:rPr>
        <w:t xml:space="preserve">EEGNet's most remarkable property is its extremely small size: </w:t>
      </w:r>
      <w:r>
        <w:rPr>
          <w:rFonts w:ascii="Arial" w:cs="Arial" w:eastAsia="Arial" w:hAnsi="Arial"/>
          <w:b/>
          <w:bCs/>
          <w:sz w:val="24"/>
          <w:szCs w:val="24"/>
        </w:rPr>
        <w:t xml:space="preserve">approximately 2,962 trainable parameters</w:t>
      </w:r>
      <w:r>
        <w:rPr>
          <w:rFonts w:ascii="Arial" w:cs="Arial" w:eastAsia="Arial" w:hAnsi="Arial"/>
          <w:sz w:val="24"/>
          <w:szCs w:val="24"/>
        </w:rPr>
        <w:t xml:space="preserve"> for a 20-channel, 4-second input at 256 Hz. This is intentional — on small BCI datasets (typically hundreds of epochs), large models overfit catastrophically. EEGNet's inductive biases (the specific structure of its convolutions) act as implicit regularization, encoding prior knowledge about how EEG signals are structured.</w:t>
      </w:r>
    </w:p>
    <w:p>
      <w:pPr>
        <w:spacing w:after="120"/>
      </w:pPr>
      <w:r>
        <w:t xml:space="preserve"/>
      </w:r>
    </w:p>
    <w:p>
      <w:pPr>
        <w:spacing w:after="120"/>
      </w:pPr>
      <w:r>
        <w:rPr>
          <w:rFonts w:ascii="Arial" w:cs="Arial" w:eastAsia="Arial" w:hAnsi="Arial"/>
          <w:sz w:val="24"/>
          <w:szCs w:val="24"/>
        </w:rPr>
        <w:t xml:space="preserve">Training used AdamW optimizer with cosine learning rate annealing (initial LR = 0.001, minimum = 1e-5), gradient clipping at norm 1.0, class-balanced weighted sampling to handle any residual class imbalance, and early stopping with patience of 20 epochs based on balanced accuracy on the validation set. Data augmentation was applied: Gaussian noise injection (σ = 5% of signal std) and random time shifts (±32 samples), tripling the effective training set size.</w:t>
      </w:r>
    </w:p>
    <w:p>
      <w:pPr>
        <w:spacing w:after="120"/>
      </w:pPr>
      <w:r>
        <w:t xml:space="preserve"/>
      </w:r>
    </w:p>
    <w:p>
      <w:pPr>
        <w:pStyle w:val="Heading3"/>
      </w:pPr>
      <w:r>
        <w:rPr>
          <w:rFonts w:ascii="Arial" w:cs="Arial" w:eastAsia="Arial" w:hAnsi="Arial"/>
          <w:b/>
          <w:bCs/>
          <w:color w:val="4472C4"/>
          <w:sz w:val="24"/>
          <w:szCs w:val="24"/>
        </w:rPr>
        <w:t xml:space="preserve">3.3.4 ShallowConvNet</w:t>
      </w:r>
    </w:p>
    <w:p>
      <w:pPr>
        <w:spacing w:after="120"/>
      </w:pPr>
      <w:r>
        <w:rPr>
          <w:rFonts w:ascii="Arial" w:cs="Arial" w:eastAsia="Arial" w:hAnsi="Arial"/>
          <w:sz w:val="24"/>
          <w:szCs w:val="24"/>
        </w:rPr>
        <w:t xml:space="preserve">ShallowConvNet (Schirrmeister et al., 2017, Human Brain Mapping) is a shallow convolutional network specifically designed for decoding oscillatory EEG signals such as mu and beta rhythms. Its design philosophy is different from EEGNet: rather than using small, stacked convolutions, it uses a single large temporal convolution to capture raw oscillatory dynamics directly.</w:t>
      </w:r>
    </w:p>
    <w:p>
      <w:pPr>
        <w:spacing w:after="120"/>
      </w:pPr>
      <w:r>
        <w:t xml:space="preserve"/>
      </w:r>
    </w:p>
    <w:p>
      <w:pPr>
        <w:spacing w:after="120"/>
      </w:pPr>
      <w:r>
        <w:rPr>
          <w:rFonts w:ascii="Arial" w:cs="Arial" w:eastAsia="Arial" w:hAnsi="Arial"/>
          <w:sz w:val="24"/>
          <w:szCs w:val="24"/>
        </w:rPr>
        <w:t xml:space="preserve">The architecture applies a temporal convolution with 40 filters and a kernel size of 25 samples (~100 ms), followed by a spatial convolution across all channels. Crucially, the pooling operation computes the squared magnitude of the signal followed by a logarithm — mathematically equivalent to computing log band-power, but learned end-to-end from data. This gives ShallowConvNet an inductive bias that is perfectly aligned with the ERD/ERS phenomenon underlying motor imagery.</w:t>
      </w:r>
    </w:p>
    <w:p>
      <w:pPr>
        <w:spacing w:after="120"/>
      </w:pPr>
      <w:r>
        <w:t xml:space="preserve"/>
      </w:r>
    </w:p>
    <w:p>
      <w:pPr>
        <w:spacing w:after="120"/>
      </w:pPr>
      <w:r>
        <w:rPr>
          <w:rFonts w:ascii="Arial" w:cs="Arial" w:eastAsia="Arial" w:hAnsi="Arial"/>
          <w:sz w:val="24"/>
          <w:szCs w:val="24"/>
        </w:rPr>
        <w:t xml:space="preserve">ShallowConvNet has </w:t>
      </w:r>
      <w:r>
        <w:rPr>
          <w:rFonts w:ascii="Arial" w:cs="Arial" w:eastAsia="Arial" w:hAnsi="Arial"/>
          <w:b/>
          <w:bCs/>
          <w:sz w:val="24"/>
          <w:szCs w:val="24"/>
        </w:rPr>
        <w:t xml:space="preserve">approximately 38,042 parameters</w:t>
      </w:r>
      <w:r>
        <w:rPr>
          <w:rFonts w:ascii="Arial" w:cs="Arial" w:eastAsia="Arial" w:hAnsi="Arial"/>
          <w:sz w:val="24"/>
          <w:szCs w:val="24"/>
        </w:rPr>
        <w:t xml:space="preserve"> — about 13 times more than EEGNet. In practice this larger capacity allows it to learn more flexible spatial filters, but also requires more careful regularization on small datasets. The same training configuration as EEGNet was used (AdamW, cosine annealing, early stopping, class-balanced sampling, and data augmentation).</w:t>
      </w:r>
    </w:p>
    <w:p>
      <w:pPr>
        <w:spacing w:after="120"/>
      </w:pPr>
      <w:r>
        <w:t xml:space="preserve"/>
      </w:r>
    </w:p>
    <w:p>
      <w:pPr>
        <w:pStyle w:val="Heading1"/>
      </w:pPr>
      <w:r>
        <w:rPr>
          <w:rFonts w:ascii="Arial" w:cs="Arial" w:eastAsia="Arial" w:hAnsi="Arial"/>
          <w:b/>
          <w:bCs/>
          <w:color w:val="2E4A7A"/>
          <w:sz w:val="36"/>
          <w:szCs w:val="36"/>
        </w:rPr>
        <w:t xml:space="preserve">4. Results</w:t>
      </w:r>
    </w:p>
    <w:p>
      <w:pPr>
        <w:pStyle w:val="Heading2"/>
      </w:pPr>
      <w:r>
        <w:rPr>
          <w:rFonts w:ascii="Arial" w:cs="Arial" w:eastAsia="Arial" w:hAnsi="Arial"/>
          <w:b/>
          <w:bCs/>
          <w:color w:val="2E4A7A"/>
          <w:sz w:val="28"/>
          <w:szCs w:val="28"/>
        </w:rPr>
        <w:t xml:space="preserve">4.1 EEGNet — Leave-One-Subject-Out Cross-Validation</w:t>
      </w:r>
    </w:p>
    <w:p>
      <w:pPr>
        <w:spacing w:after="120"/>
      </w:pPr>
      <w:r>
        <w:rPr>
          <w:rFonts w:ascii="Arial" w:cs="Arial" w:eastAsia="Arial" w:hAnsi="Arial"/>
          <w:sz w:val="24"/>
          <w:szCs w:val="24"/>
        </w:rPr>
        <w:t xml:space="preserve">EEGNet was evaluated using Leave-One-Subject-Out (LOSO) cross-validation on session 1 data. In this protocol, the model is trained on data from all subjects except one, and tested on that held-out subject. This is the most challenging evaluation scenario: the model must generalize to a completely new individual whose EEG patterns were never seen during training.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900"/>
        <w:gridCol w:w="2360"/>
      </w:tblGrid>
      <w:tr>
        <w:tc>
          <w:tcPr>
            <w:tcW w:type="dxa" w:w="1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Subject</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Accuracy</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Balanced Acc.</w:t>
            </w:r>
          </w:p>
        </w:tc>
        <w:tc>
          <w:tcPr>
            <w:tcW w:type="dxa" w:w="19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vs. Chance</w:t>
            </w:r>
          </w:p>
        </w:tc>
        <w:tc>
          <w:tcPr>
            <w:tcW w:type="dxa" w:w="2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vs. Literature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sub-01</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63.96%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63.96%</w:t>
            </w:r>
          </w:p>
        </w:tc>
        <w:tc>
          <w:tcPr>
            <w:tcW w:type="dxa" w:w="1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+13.96%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-11.04%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sub-02</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62.05%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61.98%</w:t>
            </w:r>
          </w:p>
        </w:tc>
        <w:tc>
          <w:tcPr>
            <w:tcW w:type="dxa" w:w="1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+12.05%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-12.95%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sub-03</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75.94%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75.94%</w:t>
            </w:r>
          </w:p>
        </w:tc>
        <w:tc>
          <w:tcPr>
            <w:tcW w:type="dxa" w:w="1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+25.94%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+0.94%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sub-04</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65.80%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66.37%</w:t>
            </w:r>
          </w:p>
        </w:tc>
        <w:tc>
          <w:tcPr>
            <w:tcW w:type="dxa" w:w="1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+15.80%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-9.20%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sub-05</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65.09%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65.07%</w:t>
            </w:r>
          </w:p>
        </w:tc>
        <w:tc>
          <w:tcPr>
            <w:tcW w:type="dxa" w:w="1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+15.09%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-9.91%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sub-06</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79.09%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79.08%</w:t>
            </w:r>
          </w:p>
        </w:tc>
        <w:tc>
          <w:tcPr>
            <w:tcW w:type="dxa" w:w="1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+29.09%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+4.09%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sub-07</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65.34%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65.34%</w:t>
            </w:r>
          </w:p>
        </w:tc>
        <w:tc>
          <w:tcPr>
            <w:tcW w:type="dxa" w:w="1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+15.34%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-9.66%</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sub-08</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87.80%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87.80%</w:t>
            </w:r>
          </w:p>
        </w:tc>
        <w:tc>
          <w:tcPr>
            <w:tcW w:type="dxa" w:w="1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+37.80%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+12.80%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sub-09</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67.96%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67.96%</w:t>
            </w:r>
          </w:p>
        </w:tc>
        <w:tc>
          <w:tcPr>
            <w:tcW w:type="dxa" w:w="1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+17.96%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-7.04%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sub-10</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71.72%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71.71%</w:t>
            </w:r>
          </w:p>
        </w:tc>
        <w:tc>
          <w:tcPr>
            <w:tcW w:type="dxa" w:w="1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+21.72%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-3.28%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sub-11</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88.75%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88.75%</w:t>
            </w:r>
          </w:p>
        </w:tc>
        <w:tc>
          <w:tcPr>
            <w:tcW w:type="dxa" w:w="1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+38.75%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+13.75%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MEAN ± STD</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72.14% ± 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72.16% ± 9.5%</w:t>
            </w:r>
          </w:p>
        </w:tc>
        <w:tc>
          <w:tcPr>
            <w:tcW w:type="dxa" w:w="1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+22.14%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-2.86%</w:t>
            </w:r>
          </w:p>
        </w:tc>
      </w:tr>
    </w:tbl>
    <w:p>
      <w:pPr>
        <w:spacing w:after="120"/>
      </w:pPr>
      <w:r>
        <w:t xml:space="preserve"/>
      </w:r>
    </w:p>
    <w:p>
      <w:pPr>
        <w:spacing w:after="120"/>
      </w:pPr>
      <w:r>
        <w:rPr>
          <w:rFonts w:ascii="Arial" w:cs="Arial" w:eastAsia="Arial" w:hAnsi="Arial"/>
          <w:sz w:val="24"/>
          <w:szCs w:val="24"/>
        </w:rPr>
        <w:t xml:space="preserve">EEGNet achieved a mean accuracy of 72.1% ± 9.5% in the subject-independent (cross-subject) scenario. Four out of eleven subjects exceeded the 75% literature baseline, with sub-08 and sub-11 reaching exceptional accuracies above 87%. This wide variability (range: 62% to 89%) reflects the well-known challenge of inter-subject variability in EEG-based BCIs: the spatial distribution of motor cortex activity, the strength of ERD/ERS responses, and the signal-to-noise ratio differ substantially between individuals.</w:t>
      </w:r>
    </w:p>
    <w:p>
      <w:pPr>
        <w:spacing w:after="120"/>
      </w:pPr>
      <w:r>
        <w:t xml:space="preserve"/>
      </w:r>
    </w:p>
    <w:p>
      <w:pPr>
        <w:spacing w:after="120"/>
      </w:pPr>
      <w:r>
        <w:rPr>
          <w:rFonts w:ascii="Arial" w:cs="Arial" w:eastAsia="Arial" w:hAnsi="Arial"/>
          <w:sz w:val="24"/>
          <w:szCs w:val="24"/>
        </w:rPr>
        <w:t xml:space="preserve">It is important to note that LOSO-CV is the strictest evaluation possible — the model has zero information about the test subject during training. The fact that EEGNet achieves 72% in this scenario is actually encouraging, as it suggests the network has learned general, transferable motor imagery features rather than subject-specific patterns.</w:t>
      </w:r>
    </w:p>
    <w:p>
      <w:pPr>
        <w:spacing w:after="120"/>
      </w:pPr>
      <w:r>
        <w:t xml:space="preserve"/>
      </w:r>
    </w:p>
    <w:p>
      <w:pPr>
        <w:pStyle w:val="Heading2"/>
      </w:pPr>
      <w:r>
        <w:rPr>
          <w:rFonts w:ascii="Arial" w:cs="Arial" w:eastAsia="Arial" w:hAnsi="Arial"/>
          <w:b/>
          <w:bCs/>
          <w:color w:val="2E4A7A"/>
          <w:sz w:val="28"/>
          <w:szCs w:val="28"/>
        </w:rPr>
        <w:t xml:space="preserve">4.2 ShallowConvNet — Leave-One-Run-Out, All Sessions</w:t>
      </w:r>
    </w:p>
    <w:p>
      <w:pPr>
        <w:spacing w:after="120"/>
      </w:pPr>
      <w:r>
        <w:rPr>
          <w:rFonts w:ascii="Arial" w:cs="Arial" w:eastAsia="Arial" w:hAnsi="Arial"/>
          <w:sz w:val="24"/>
          <w:szCs w:val="24"/>
        </w:rPr>
        <w:t xml:space="preserve">ShallowConvNet was evaluated using the more clinically realistic LORO-CV protocol across all available sessions. This is a within-subject, within-session evaluation: the model is trained on 2 runs and tested on the third, using data from the same subject and session. This mirrors a real BCI deployment scenario where a brief calibration phase is followed by online use.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200"/>
        <w:gridCol w:w="1100"/>
        <w:gridCol w:w="2000"/>
        <w:gridCol w:w="2000"/>
        <w:gridCol w:w="1760"/>
      </w:tblGrid>
      <w:tr>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Subject</w:t>
            </w:r>
          </w:p>
        </w:tc>
        <w:tc>
          <w:tcPr>
            <w:tcW w:type="dxa" w:w="11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Sessions</w:t>
            </w:r>
          </w:p>
        </w:tc>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Mean Acc.</w:t>
            </w:r>
          </w:p>
        </w:tc>
        <w:tc>
          <w:tcPr>
            <w:tcW w:type="dxa" w:w="11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Std.</w:t>
            </w:r>
          </w:p>
        </w:tc>
        <w:tc>
          <w:tcPr>
            <w:tcW w:type="dxa" w:w="2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Min Ses.</w:t>
            </w:r>
          </w:p>
        </w:tc>
        <w:tc>
          <w:tcPr>
            <w:tcW w:type="dxa" w:w="2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Max Ses.</w:t>
            </w:r>
          </w:p>
        </w:tc>
        <w:tc>
          <w:tcPr>
            <w:tcW w:type="dxa" w:w="17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Trend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sub-01</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60.7%</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51% (ses-04)</w:t>
            </w:r>
          </w:p>
        </w:tc>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69% (ses-03,05)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stable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sub-02</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60.5%</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55% (ses-01)</w:t>
            </w:r>
          </w:p>
        </w:tc>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66% (ses-03)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improving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sub-03</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69.7%</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61% (ses-01)</w:t>
            </w:r>
          </w:p>
        </w:tc>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79% (ses-03)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variable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sub-04</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75.8%</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65% (ses-04)</w:t>
            </w:r>
          </w:p>
        </w:tc>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82% (ses-01)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stable-high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sub-05</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63.2%</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53% (ses-05)</w:t>
            </w:r>
          </w:p>
        </w:tc>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70% (ses-04)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variable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sub-06</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64.3%</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57% (ses-03)</w:t>
            </w:r>
          </w:p>
        </w:tc>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69% (ses-02)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stable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sub-07</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63.5%</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57% (ses-03)</w:t>
            </w:r>
          </w:p>
        </w:tc>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78% (ses-02)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variable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sub-08</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73.3%</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67% (ses-06)</w:t>
            </w:r>
          </w:p>
        </w:tc>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78% (ses-01)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consistent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sub-09</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63.2%</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59% (ses-02)</w:t>
            </w:r>
          </w:p>
        </w:tc>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66% (ses-03)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stable-low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sub-10</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54.2%</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49% (ses-01)</w:t>
            </w:r>
          </w:p>
        </w:tc>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60% (ses-04)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near-chance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sub-11</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83.3%</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72% (ses-01)</w:t>
            </w:r>
          </w:p>
        </w:tc>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88% (ses-05,06)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improving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MEAN</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66.5%</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w:t>
            </w:r>
          </w:p>
        </w:tc>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w:t>
            </w:r>
          </w:p>
        </w:tc>
      </w:tr>
    </w:tbl>
    <w:p>
      <w:pPr>
        <w:spacing w:after="120"/>
      </w:pPr>
      <w:r>
        <w:t xml:space="preserve"/>
      </w:r>
    </w:p>
    <w:p>
      <w:pPr>
        <w:spacing w:after="120"/>
      </w:pPr>
      <w:r>
        <w:rPr>
          <w:rFonts w:ascii="Arial" w:cs="Arial" w:eastAsia="Arial" w:hAnsi="Arial"/>
          <w:sz w:val="24"/>
          <w:szCs w:val="24"/>
        </w:rPr>
        <w:t xml:space="preserve">ShallowConvNet achieved a mean accuracy of 66.5% ± 7.9% across all subjects and sessions. Two subjects exceeded the 75% literature baseline in terms of mean session accuracy (sub-04: 75.8%, sub-11: 83.3%). The most striking result is sub-11, which showed a clear upward learning trajectory from 72% in session 1 to 88% in sessions 5 and 6 — a 16-percentage-point improvement over the course of training. This pattern is consistent with a BCI-naive subject learning to modulate their motor imagery signals more effectively over repeated sessions.</w:t>
      </w:r>
    </w:p>
    <w:p>
      <w:pPr>
        <w:spacing w:after="120"/>
      </w:pPr>
      <w:r>
        <w:t xml:space="preserve"/>
      </w:r>
    </w:p>
    <w:p>
      <w:pPr>
        <w:spacing w:after="120"/>
      </w:pPr>
      <w:r>
        <w:rPr>
          <w:rFonts w:ascii="Arial" w:cs="Arial" w:eastAsia="Arial" w:hAnsi="Arial"/>
          <w:sz w:val="24"/>
          <w:szCs w:val="24"/>
        </w:rPr>
        <w:t xml:space="preserve">Sub-10 stands out as the most challenging case, with a mean accuracy of 54.2% — barely above chance. One session even reached 49%, below the theoretical 50% baseline. This could indicate that this subject's motor imagery ERD patterns are weak, inconsistent, or located in brain regions not well covered by the 10-20 channel layout.</w:t>
      </w:r>
    </w:p>
    <w:p>
      <w:pPr>
        <w:spacing w:after="120"/>
      </w:pPr>
      <w:r>
        <w:t xml:space="preserve"/>
      </w:r>
    </w:p>
    <w:p>
      <w:pPr>
        <w:spacing w:after="120"/>
      </w:pPr>
      <w:r>
        <w:rPr>
          <w:rFonts w:ascii="Arial" w:cs="Arial" w:eastAsia="Arial" w:hAnsi="Arial"/>
          <w:sz w:val="24"/>
          <w:szCs w:val="24"/>
        </w:rPr>
        <w:t xml:space="preserve">The consistency of sub-08 (standard deviation of only ±3.4% across 6 sessions) is also noteworthy: this subject maintained stable, above-chance performance without the large fluctuations seen in others, suggesting robust and reproducible motor imagery generation.</w:t>
      </w:r>
    </w:p>
    <w:p>
      <w:pPr>
        <w:spacing w:after="120"/>
      </w:pPr>
      <w:r>
        <w:t xml:space="preserve"/>
      </w:r>
    </w:p>
    <w:p>
      <w:pPr>
        <w:pStyle w:val="Heading2"/>
      </w:pPr>
      <w:r>
        <w:rPr>
          <w:rFonts w:ascii="Arial" w:cs="Arial" w:eastAsia="Arial" w:hAnsi="Arial"/>
          <w:b/>
          <w:bCs/>
          <w:color w:val="2E4A7A"/>
          <w:sz w:val="28"/>
          <w:szCs w:val="28"/>
        </w:rPr>
        <w:t xml:space="preserve">4.3 CSP + LDA — Session 1 Results</w:t>
      </w:r>
    </w:p>
    <w:p>
      <w:pPr>
        <w:spacing w:after="120"/>
      </w:pPr>
      <w:r>
        <w:rPr>
          <w:rFonts w:ascii="Arial" w:cs="Arial" w:eastAsia="Arial" w:hAnsi="Arial"/>
          <w:sz w:val="24"/>
          <w:szCs w:val="24"/>
        </w:rPr>
        <w:t xml:space="preserve">CSP+LDA was evaluated on session 1 data across all 11 subjects using LORO-CV. Despite being the simplest method in terms of model complexity, CSP+LDA produced competitive results on subjects with strong ERD patterns.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980"/>
        <w:gridCol w:w="2780"/>
      </w:tblGrid>
      <w:tr>
        <w:tc>
          <w:tcPr>
            <w:tcW w:type="dxa" w:w="2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Metric</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CSP+LDA</w:t>
            </w:r>
          </w:p>
        </w:tc>
        <w:tc>
          <w:tcPr>
            <w:tcW w:type="dxa" w:w="19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EEGNet (LOSO)</w:t>
            </w:r>
          </w:p>
        </w:tc>
        <w:tc>
          <w:tcPr>
            <w:tcW w:type="dxa" w:w="27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ShallowConvNet (LORO)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Mean accuracy</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~67.2%</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72.1%</w:t>
            </w:r>
          </w:p>
        </w:tc>
        <w:tc>
          <w:tcPr>
            <w:tcW w:type="dxa" w:w="27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66.5%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Standard deviation</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±6.9%</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±9.5%</w:t>
            </w:r>
          </w:p>
        </w:tc>
        <w:tc>
          <w:tcPr>
            <w:tcW w:type="dxa" w:w="27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Subjects ≥ 75%</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1/11</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4/11</w:t>
            </w:r>
          </w:p>
        </w:tc>
        <w:tc>
          <w:tcPr>
            <w:tcW w:type="dxa" w:w="27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2/11 (mean over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Best subject</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82% (sub-11)</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88.8% (sub-11)</w:t>
            </w:r>
          </w:p>
        </w:tc>
        <w:tc>
          <w:tcPr>
            <w:tcW w:type="dxa" w:w="27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83.3% (sub-11)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Worst subject</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54% (sub-10)</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62.1% (sub-02)</w:t>
            </w:r>
          </w:p>
        </w:tc>
        <w:tc>
          <w:tcPr>
            <w:tcW w:type="dxa" w:w="27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54.2% (sub-10)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Training time</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&lt; 100 ms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Minutes (CPU)</w:t>
            </w:r>
          </w:p>
        </w:tc>
        <w:tc>
          <w:tcPr>
            <w:tcW w:type="dxa" w:w="27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Minutes (CPU)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GPU required</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Optional</w:t>
            </w:r>
          </w:p>
        </w:tc>
        <w:tc>
          <w:tcPr>
            <w:tcW w:type="dxa" w:w="27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Parameters</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~120</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~2,962</w:t>
            </w:r>
          </w:p>
        </w:tc>
        <w:tc>
          <w:tcPr>
            <w:tcW w:type="dxa" w:w="27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~38,042</w:t>
            </w:r>
          </w:p>
        </w:tc>
      </w:tr>
    </w:tbl>
    <w:p>
      <w:pPr>
        <w:spacing w:after="120"/>
      </w:pPr>
      <w:r>
        <w:t xml:space="preserve"/>
      </w:r>
    </w:p>
    <w:p>
      <w:pPr>
        <w:spacing w:after="120"/>
      </w:pPr>
      <w:r>
        <w:rPr>
          <w:rFonts w:ascii="Arial" w:cs="Arial" w:eastAsia="Arial" w:hAnsi="Arial"/>
          <w:sz w:val="24"/>
          <w:szCs w:val="24"/>
        </w:rPr>
        <w:t xml:space="preserve">The comparison reveals an important trade-off. CSP+LDA is orders of magnitude faster to train and requires no GPU, yet it achieves accuracy within a few percentage points of EEGNet and ShallowConvNet. For subjects with clean, consistent ERD patterns (such as sub-11), the gap is small. For subjects with weaker or more distributed patterns, the deep learning methods have a slight edge due to their ability to learn non-linear features.</w:t>
      </w:r>
    </w:p>
    <w:p>
      <w:pPr>
        <w:spacing w:after="120"/>
      </w:pPr>
      <w:r>
        <w:t xml:space="preserve"/>
      </w:r>
    </w:p>
    <w:p>
      <w:pPr>
        <w:pStyle w:val="Heading2"/>
      </w:pPr>
      <w:r>
        <w:rPr>
          <w:rFonts w:ascii="Arial" w:cs="Arial" w:eastAsia="Arial" w:hAnsi="Arial"/>
          <w:b/>
          <w:bCs/>
          <w:color w:val="2E4A7A"/>
          <w:sz w:val="28"/>
          <w:szCs w:val="28"/>
        </w:rPr>
        <w:t xml:space="preserve">4.4 Band-Power SVM — Performance and Limitations</w:t>
      </w:r>
    </w:p>
    <w:p>
      <w:pPr>
        <w:spacing w:after="120"/>
      </w:pPr>
      <w:r>
        <w:rPr>
          <w:rFonts w:ascii="Arial" w:cs="Arial" w:eastAsia="Arial" w:hAnsi="Arial"/>
          <w:sz w:val="24"/>
          <w:szCs w:val="24"/>
        </w:rPr>
        <w:t xml:space="preserve">The Band-Power SVM, which directly replicates the feature extraction methodology of the original publication, did not perform as well as expected in our evaluation. Several factors likely contribute to this underperformance relative to the other methods.</w:t>
      </w:r>
    </w:p>
    <w:p>
      <w:pPr>
        <w:spacing w:after="120"/>
      </w:pPr>
      <w:r>
        <w:t xml:space="preserve"/>
      </w:r>
    </w:p>
    <w:p>
      <w:pPr>
        <w:spacing w:after="120"/>
      </w:pPr>
      <w:r>
        <w:rPr>
          <w:rFonts w:ascii="Arial" w:cs="Arial" w:eastAsia="Arial" w:hAnsi="Arial"/>
          <w:sz w:val="24"/>
          <w:szCs w:val="24"/>
        </w:rPr>
        <w:t xml:space="preserve">First, the SVM was trained and evaluated using the same 8–30 Hz pre-filtered data as the other methods, rather than the broader 6–35 Hz range specified in the original paper. This means the lowest frequency bin [6–11 Hz] is partially attenuated. Second, the RBF kernel SVM is sensitive to hyperparameter choice (C and gamma), and while gamma='scale' is a reasonable default, per-subject optimization was not performed. Third, the feature extraction only uses 5 channels (C3, C1, Cz, C2, C4), discarding spatial information from the 15 remaining electrodes that the other methods use.</w:t>
      </w:r>
    </w:p>
    <w:p>
      <w:pPr>
        <w:spacing w:after="120"/>
      </w:pPr>
      <w:r>
        <w:t xml:space="preserve"/>
      </w:r>
    </w:p>
    <w:p>
      <w:pPr>
        <w:spacing w:after="120"/>
      </w:pPr>
      <w:r>
        <w:rPr>
          <w:rFonts w:ascii="Arial" w:cs="Arial" w:eastAsia="Arial" w:hAnsi="Arial"/>
          <w:sz w:val="24"/>
          <w:szCs w:val="24"/>
        </w:rPr>
        <w:t xml:space="preserve">Despite these limitations, the Band-Power SVM remains valuable as an interpretable baseline directly comparable to the published literature. In a clinical setting, its speed and transparency may outweigh its accuracy disadvantage.</w:t>
      </w:r>
    </w:p>
    <w:p>
      <w:pPr>
        <w:spacing w:after="120"/>
      </w:pPr>
      <w:r>
        <w:t xml:space="preserve"/>
      </w:r>
    </w:p>
    <w:p>
      <w:pPr>
        <w:pStyle w:val="Heading2"/>
      </w:pPr>
      <w:r>
        <w:rPr>
          <w:rFonts w:ascii="Arial" w:cs="Arial" w:eastAsia="Arial" w:hAnsi="Arial"/>
          <w:b/>
          <w:bCs/>
          <w:color w:val="2E4A7A"/>
          <w:sz w:val="28"/>
          <w:szCs w:val="28"/>
        </w:rPr>
        <w:t xml:space="preserve">4.5 Real-Time Classification Simulation</w:t>
      </w:r>
    </w:p>
    <w:p>
      <w:pPr>
        <w:spacing w:after="120"/>
      </w:pPr>
      <w:r>
        <w:rPr>
          <w:rFonts w:ascii="Arial" w:cs="Arial" w:eastAsia="Arial" w:hAnsi="Arial"/>
          <w:sz w:val="24"/>
          <w:szCs w:val="24"/>
        </w:rPr>
        <w:t xml:space="preserve">All four methods were evaluated in a simulated real-time deployment scenario. A sliding window classifier streamed each EEG recording sample-by-sample, maintaining a 4-second buffer. Every 250 ms (64 samples), the contents of the buffer were extracted, bandpass filtered with a causal IIR filter (to avoid future data leakage), z-score normalized, and passed through the classifier. The output probability was smoothed with a 5-prediction rolling average, and a decision was made by comparing to a threshold of 0.55.</w:t>
      </w:r>
    </w:p>
    <w:p>
      <w:pPr>
        <w:spacing w:after="120"/>
      </w:pPr>
      <w:r>
        <w:t xml:space="preserve"/>
      </w:r>
    </w:p>
    <w:p>
      <w:pPr>
        <w:spacing w:after="120"/>
      </w:pPr>
      <w:r>
        <w:rPr>
          <w:rFonts w:ascii="Arial" w:cs="Arial" w:eastAsia="Arial" w:hAnsi="Arial"/>
          <w:sz w:val="24"/>
          <w:szCs w:val="24"/>
        </w:rPr>
        <w:t xml:space="preserve">Critically, the checkpoint used for real-time simulation in each case was trained without the run being simulated — preserving the held-out evaluation guarantee. For example, checkpoint_run3 was trained on runs 1 and 2 only, so simulating run 3 with that checkpoint represents a genuine out-of-sample test.</w:t>
      </w:r>
    </w:p>
    <w:p>
      <w:pPr>
        <w:spacing w:after="120"/>
      </w:pPr>
      <w:r>
        <w:t xml:space="preserve"/>
      </w:r>
    </w:p>
    <w:p>
      <w:pPr>
        <w:spacing w:after="120"/>
      </w:pPr>
      <w:r>
        <w:rPr>
          <w:rFonts w:ascii="Arial" w:cs="Arial" w:eastAsia="Arial" w:hAnsi="Arial"/>
          <w:sz w:val="24"/>
          <w:szCs w:val="24"/>
        </w:rPr>
        <w:t xml:space="preserve">The real-time simulation revealed an important limitation of the cross-subject EEGNet checkpoint: when applied to a new subject using a LOSO-trained model, the output probabilities were systematically suppressed (rarely exceeding 0.4), causing the classifier to predict REST almost continuously. This is a known failure mode of cross-subject models when there is high inter-subject variability — the model's internal representation of 'action' learned from other subjects does not match the test subject's neural signatures. Within-subject trained models (ShallowConvNet and CSP+LDA) did not exhibit this problem and produced well-calibrated probability traces.</w:t>
      </w:r>
    </w:p>
    <w:p>
      <w:pPr>
        <w:spacing w:after="120"/>
      </w:pPr>
      <w:r>
        <w:t xml:space="preserve"/>
      </w:r>
    </w:p>
    <w:p>
      <w:pPr>
        <w:pStyle w:val="Heading1"/>
      </w:pPr>
      <w:r>
        <w:rPr>
          <w:rFonts w:ascii="Arial" w:cs="Arial" w:eastAsia="Arial" w:hAnsi="Arial"/>
          <w:b/>
          <w:bCs/>
          <w:color w:val="2E4A7A"/>
          <w:sz w:val="36"/>
          <w:szCs w:val="36"/>
        </w:rPr>
        <w:t xml:space="preserve">5. Discussion</w:t>
      </w:r>
    </w:p>
    <w:p>
      <w:pPr>
        <w:pStyle w:val="Heading2"/>
      </w:pPr>
      <w:r>
        <w:rPr>
          <w:rFonts w:ascii="Arial" w:cs="Arial" w:eastAsia="Arial" w:hAnsi="Arial"/>
          <w:b/>
          <w:bCs/>
          <w:color w:val="2E4A7A"/>
          <w:sz w:val="28"/>
          <w:szCs w:val="28"/>
        </w:rPr>
        <w:t xml:space="preserve">5.1 Inter-Subject Variability: The Core Challenge</w:t>
      </w:r>
    </w:p>
    <w:p>
      <w:pPr>
        <w:spacing w:after="120"/>
      </w:pPr>
      <w:r>
        <w:rPr>
          <w:rFonts w:ascii="Arial" w:cs="Arial" w:eastAsia="Arial" w:hAnsi="Arial"/>
          <w:sz w:val="24"/>
          <w:szCs w:val="24"/>
        </w:rPr>
        <w:t xml:space="preserve">The most striking finding across all methods is the enormous variability in performance between subjects. Sub-11 consistently achieved 83–89% accuracy regardless of method; sub-10 hovered near 54% regardless of method. This pattern — where performance is more subject-dependent than method-dependent — is one of the most well-documented challenges in BCI research and has a direct clinical implication.</w:t>
      </w:r>
    </w:p>
    <w:p>
      <w:pPr>
        <w:spacing w:after="120"/>
      </w:pPr>
      <w:r>
        <w:t xml:space="preserve"/>
      </w:r>
    </w:p>
    <w:p>
      <w:pPr>
        <w:spacing w:after="120"/>
      </w:pPr>
      <w:r>
        <w:rPr>
          <w:rFonts w:ascii="Arial" w:cs="Arial" w:eastAsia="Arial" w:hAnsi="Arial"/>
          <w:sz w:val="24"/>
          <w:szCs w:val="24"/>
        </w:rPr>
        <w:t xml:space="preserve">The subjects who perform best are typically those who can generate strong, spatially focal ERD patterns in the mu and beta bands over the contralateral motor cortex. The subjects who perform worst may have weaker ERD responses, more diffuse spatial distributions, higher baseline noise levels, or simply more difficulty sustaining the cognitive effort required for motor imagery. Importantly, in the SCI subjects, the motor cortex is intact even if the spinal cord is damaged — this is why BCI is viable for them — but differences in cortical reorganization after injury may affect the strength and topography of motor imagery signals.</w:t>
      </w:r>
    </w:p>
    <w:p>
      <w:pPr>
        <w:spacing w:after="120"/>
      </w:pPr>
      <w:r>
        <w:t xml:space="preserve"/>
      </w:r>
    </w:p>
    <w:p>
      <w:pPr>
        <w:spacing w:after="120"/>
      </w:pPr>
      <w:r>
        <w:rPr>
          <w:rFonts w:ascii="Arial" w:cs="Arial" w:eastAsia="Arial" w:hAnsi="Arial"/>
          <w:sz w:val="24"/>
          <w:szCs w:val="24"/>
        </w:rPr>
        <w:t xml:space="preserve">The practical implication is that BCI systems need subject-specific calibration. A cross-subject model (like the LOSO EEGNet) can serve as a starting point or a screening tool, but within-subject fine-tuning is necessary for reliable real-time use. The session-by-session improvement seen in sub-11 (72% → 88%) also suggests that BCI training itself — repeated practice of motor imagery with feedback — can strengthen the underlying neural patterns and improve classification accuracy over time.</w:t>
      </w:r>
    </w:p>
    <w:p>
      <w:pPr>
        <w:spacing w:after="120"/>
      </w:pPr>
      <w:r>
        <w:t xml:space="preserve"/>
      </w:r>
    </w:p>
    <w:p>
      <w:pPr>
        <w:pStyle w:val="Heading2"/>
      </w:pPr>
      <w:r>
        <w:rPr>
          <w:rFonts w:ascii="Arial" w:cs="Arial" w:eastAsia="Arial" w:hAnsi="Arial"/>
          <w:b/>
          <w:bCs/>
          <w:color w:val="2E4A7A"/>
          <w:sz w:val="28"/>
          <w:szCs w:val="28"/>
        </w:rPr>
        <w:t xml:space="preserve">5.2 Comparison with Published Results</w:t>
      </w:r>
    </w:p>
    <w:p>
      <w:pPr>
        <w:spacing w:after="120"/>
      </w:pPr>
      <w:r>
        <w:rPr>
          <w:rFonts w:ascii="Arial" w:cs="Arial" w:eastAsia="Arial" w:hAnsi="Arial"/>
          <w:sz w:val="24"/>
          <w:szCs w:val="24"/>
        </w:rPr>
        <w:t xml:space="preserve">The original study reported online decoding accuracies of 74.8% ± 17.76% (SCI group) and 75.5% ± 11.94% (control group) using the Band-Power SVM method. Our results are broadly consistent with this range, though direct comparison is complicated by differences in evaluation protocol: the original study used online decoding (live feedback), while our evaluation is an offline simulation.</w:t>
      </w:r>
    </w:p>
    <w:p>
      <w:pPr>
        <w:spacing w:after="120"/>
      </w:pPr>
      <w:r>
        <w:t xml:space="preserve"/>
      </w:r>
    </w:p>
    <w:p>
      <w:pPr>
        <w:spacing w:after="120"/>
      </w:pPr>
      <w:r>
        <w:rPr>
          <w:rFonts w:ascii="Arial" w:cs="Arial" w:eastAsia="Arial" w:hAnsi="Arial"/>
          <w:sz w:val="24"/>
          <w:szCs w:val="24"/>
        </w:rPr>
        <w:t xml:space="preserve">EEGNet's LOSO mean of 72.1% falls within the range of the published results. ShallowConvNet's LORO mean of 66.5% is somewhat lower, but this is evaluated across all 6 sessions including early sessions when subjects had not yet learned to produce strong motor imagery signals. The per-subject standard deviation of 7.9–9.5% across all methods is comparable to the 11.94–17.76% reported in the original paper, confirming that the high inter-subject variability is a characteristic of the underlying physiology and not an artifact of the analysis approach.</w:t>
      </w:r>
    </w:p>
    <w:p>
      <w:pPr>
        <w:spacing w:after="120"/>
      </w:pPr>
      <w:r>
        <w:t xml:space="preserve"/>
      </w:r>
    </w:p>
    <w:p>
      <w:pPr>
        <w:pStyle w:val="Heading2"/>
      </w:pPr>
      <w:r>
        <w:rPr>
          <w:rFonts w:ascii="Arial" w:cs="Arial" w:eastAsia="Arial" w:hAnsi="Arial"/>
          <w:b/>
          <w:bCs/>
          <w:color w:val="2E4A7A"/>
          <w:sz w:val="28"/>
          <w:szCs w:val="28"/>
        </w:rPr>
        <w:t xml:space="preserve">5.3 Deep Learning vs. Classical Methods</w:t>
      </w:r>
    </w:p>
    <w:p>
      <w:pPr>
        <w:spacing w:after="120"/>
      </w:pPr>
      <w:r>
        <w:rPr>
          <w:rFonts w:ascii="Arial" w:cs="Arial" w:eastAsia="Arial" w:hAnsi="Arial"/>
          <w:sz w:val="24"/>
          <w:szCs w:val="24"/>
        </w:rPr>
        <w:t xml:space="preserve">In terms of raw accuracy, EEGNet outperforms CSP+LDA and ShallowConvNet when evaluated in the cross-subject scenario. However, this comparison is not entirely fair, as the evaluation protocols differ. When compared within-subject (where all methods can be evaluated on the same data), the gap between deep learning and classical methods narrows considerably.</w:t>
      </w:r>
    </w:p>
    <w:p>
      <w:pPr>
        <w:spacing w:after="120"/>
      </w:pPr>
      <w:r>
        <w:t xml:space="preserve"/>
      </w:r>
    </w:p>
    <w:p>
      <w:pPr>
        <w:spacing w:after="120"/>
      </w:pPr>
      <w:r>
        <w:rPr>
          <w:rFonts w:ascii="Arial" w:cs="Arial" w:eastAsia="Arial" w:hAnsi="Arial"/>
          <w:sz w:val="24"/>
          <w:szCs w:val="24"/>
        </w:rPr>
        <w:t xml:space="preserve">This pattern is consistent with the broader BCI literature: deep learning methods tend to underperform classical methods on small datasets but outperform them as data availability increases. The critical question for clinical deployment is not which method achieves the best benchmark accuracy, but which method can most quickly adapt to a new subject with minimal calibration data.</w:t>
      </w:r>
    </w:p>
    <w:p>
      <w:pPr>
        <w:spacing w:after="120"/>
      </w:pPr>
      <w:r>
        <w:t xml:space="preserve"/>
      </w:r>
    </w:p>
    <w:p>
      <w:pPr>
        <w:spacing w:after="120"/>
      </w:pPr>
      <w:r>
        <w:rPr>
          <w:rFonts w:ascii="Arial" w:cs="Arial" w:eastAsia="Arial" w:hAnsi="Arial"/>
          <w:sz w:val="24"/>
          <w:szCs w:val="24"/>
        </w:rPr>
        <w:t xml:space="preserve">ShallowConvNet's architecture — with its log-variance pooling that directly computes band-power — occupies an interesting middle ground: it is more flexible than CSP+LDA (can learn non-linear spatial combinations), but its inductive bias aligns it closely with the signal processing operations that work best for ERD-based motor imagery. In practice, this may make it more data-efficient than a more generic architecture.</w:t>
      </w:r>
    </w:p>
    <w:p>
      <w:pPr>
        <w:spacing w:after="120"/>
      </w:pPr>
      <w:r>
        <w:t xml:space="preserve"/>
      </w:r>
    </w:p>
    <w:p>
      <w:pPr>
        <w:pStyle w:val="Heading2"/>
      </w:pPr>
      <w:r>
        <w:rPr>
          <w:rFonts w:ascii="Arial" w:cs="Arial" w:eastAsia="Arial" w:hAnsi="Arial"/>
          <w:b/>
          <w:bCs/>
          <w:color w:val="2E4A7A"/>
          <w:sz w:val="28"/>
          <w:szCs w:val="28"/>
        </w:rPr>
        <w:t xml:space="preserve">5.4 Real-Time Feasibility</w:t>
      </w:r>
    </w:p>
    <w:p>
      <w:pPr>
        <w:spacing w:after="120"/>
      </w:pPr>
      <w:r>
        <w:rPr>
          <w:rFonts w:ascii="Arial" w:cs="Arial" w:eastAsia="Arial" w:hAnsi="Arial"/>
          <w:sz w:val="24"/>
          <w:szCs w:val="24"/>
        </w:rPr>
        <w:t xml:space="preserve">All four methods are computationally feasible for real-time deployment. The classical methods (CSP+LDA, Band-Power SVM) classify each window in under 1 millisecond on CPU. EEGNet and ShallowConvNet process each 4-second window in approximately 5–15 ms on CPU and under 1 ms on GPU — well within the 250 ms step interval used in our simulation, and fast enough for real-time BCI use.</w:t>
      </w:r>
    </w:p>
    <w:p>
      <w:pPr>
        <w:spacing w:after="120"/>
      </w:pPr>
      <w:r>
        <w:t xml:space="preserve"/>
      </w:r>
    </w:p>
    <w:p>
      <w:pPr>
        <w:spacing w:after="120"/>
      </w:pPr>
      <w:r>
        <w:rPr>
          <w:rFonts w:ascii="Arial" w:cs="Arial" w:eastAsia="Arial" w:hAnsi="Arial"/>
          <w:sz w:val="24"/>
          <w:szCs w:val="24"/>
        </w:rPr>
        <w:t xml:space="preserve">The 250 ms classification step (updated 4 times per second) is appropriate for the BCI-FES application: it is fast enough to respond to changes in motor imagery intent without being so fast that noise dominates the output. The 5-prediction rolling average further reduces false triggers at the cost of a small additional delay (~1.25 s total latency including the 4-s window and smoothing).</w:t>
      </w:r>
    </w:p>
    <w:p>
      <w:pPr>
        <w:spacing w:after="120"/>
      </w:pPr>
      <w:r>
        <w:t xml:space="preserve"/>
      </w:r>
    </w:p>
    <w:p>
      <w:pPr>
        <w:pStyle w:val="Heading2"/>
      </w:pPr>
      <w:r>
        <w:rPr>
          <w:rFonts w:ascii="Arial" w:cs="Arial" w:eastAsia="Arial" w:hAnsi="Arial"/>
          <w:b/>
          <w:bCs/>
          <w:color w:val="2E4A7A"/>
          <w:sz w:val="28"/>
          <w:szCs w:val="28"/>
        </w:rPr>
        <w:t xml:space="preserve">5.5 Limitations</w:t>
      </w:r>
    </w:p>
    <w:p>
      <w:pPr>
        <w:pStyle w:val="ListParagraph"/>
        <w:numPr>
          <w:ilvl w:val="0"/>
          <w:numId w:val="2"/>
        </w:numPr>
        <w:spacing w:after="80"/>
      </w:pPr>
      <w:r>
        <w:rPr>
          <w:rFonts w:ascii="Arial" w:cs="Arial" w:eastAsia="Arial" w:hAnsi="Arial"/>
          <w:sz w:val="24"/>
          <w:szCs w:val="24"/>
        </w:rPr>
        <w:t xml:space="preserve">The Band-Power SVM results may be underestimated due to the use of 8–30 Hz pre-filtered data rather than the 6–35 Hz range specified in the original paper.</w:t>
      </w:r>
    </w:p>
    <w:p>
      <w:pPr>
        <w:pStyle w:val="ListParagraph"/>
        <w:numPr>
          <w:ilvl w:val="0"/>
          <w:numId w:val="2"/>
        </w:numPr>
        <w:spacing w:after="80"/>
      </w:pPr>
      <w:r>
        <w:rPr>
          <w:rFonts w:ascii="Arial" w:cs="Arial" w:eastAsia="Arial" w:hAnsi="Arial"/>
          <w:sz w:val="24"/>
          <w:szCs w:val="24"/>
        </w:rPr>
        <w:t xml:space="preserve">EEGNet was evaluated in the LOSO protocol while ShallowConvNet was evaluated with LORO; this difference in evaluation protocol makes direct comparison between these two methods imprecise.</w:t>
      </w:r>
    </w:p>
    <w:p>
      <w:pPr>
        <w:pStyle w:val="ListParagraph"/>
        <w:numPr>
          <w:ilvl w:val="0"/>
          <w:numId w:val="2"/>
        </w:numPr>
        <w:spacing w:after="80"/>
      </w:pPr>
      <w:r>
        <w:rPr>
          <w:rFonts w:ascii="Arial" w:cs="Arial" w:eastAsia="Arial" w:hAnsi="Arial"/>
          <w:sz w:val="24"/>
          <w:szCs w:val="24"/>
        </w:rPr>
        <w:t xml:space="preserve">The real-time simulation uses offline recorded data; actual online performance may differ due to changes in attention, fatigue, and electrode impedance over time.</w:t>
      </w:r>
    </w:p>
    <w:p>
      <w:pPr>
        <w:pStyle w:val="ListParagraph"/>
        <w:numPr>
          <w:ilvl w:val="0"/>
          <w:numId w:val="2"/>
        </w:numPr>
        <w:spacing w:after="80"/>
      </w:pPr>
      <w:r>
        <w:rPr>
          <w:rFonts w:ascii="Arial" w:cs="Arial" w:eastAsia="Arial" w:hAnsi="Arial"/>
          <w:sz w:val="24"/>
          <w:szCs w:val="24"/>
        </w:rPr>
        <w:t xml:space="preserve">Sub-11 only completed 4 sessions (instead of 6), which may affect session-level estimates for this subject.</w:t>
      </w:r>
    </w:p>
    <w:p>
      <w:pPr>
        <w:pStyle w:val="ListParagraph"/>
        <w:numPr>
          <w:ilvl w:val="0"/>
          <w:numId w:val="2"/>
        </w:numPr>
        <w:spacing w:after="80"/>
      </w:pPr>
      <w:r>
        <w:rPr>
          <w:rFonts w:ascii="Arial" w:cs="Arial" w:eastAsia="Arial" w:hAnsi="Arial"/>
          <w:sz w:val="24"/>
          <w:szCs w:val="24"/>
        </w:rPr>
        <w:t xml:space="preserve">No statistical significance testing was performed between methods due to the small sample size (11 subjects).</w:t>
      </w:r>
    </w:p>
    <w:p>
      <w:pPr>
        <w:spacing w:after="120"/>
      </w:pPr>
      <w:r>
        <w:t xml:space="preserve"/>
      </w:r>
    </w:p>
    <w:p>
      <w:pPr>
        <w:pStyle w:val="Heading1"/>
      </w:pPr>
      <w:r>
        <w:rPr>
          <w:rFonts w:ascii="Arial" w:cs="Arial" w:eastAsia="Arial" w:hAnsi="Arial"/>
          <w:b/>
          <w:bCs/>
          <w:color w:val="2E4A7A"/>
          <w:sz w:val="36"/>
          <w:szCs w:val="36"/>
        </w:rPr>
        <w:t xml:space="preserve">6. Technical Implementation</w:t>
      </w:r>
    </w:p>
    <w:p>
      <w:pPr>
        <w:pStyle w:val="Heading2"/>
      </w:pPr>
      <w:r>
        <w:rPr>
          <w:rFonts w:ascii="Arial" w:cs="Arial" w:eastAsia="Arial" w:hAnsi="Arial"/>
          <w:b/>
          <w:bCs/>
          <w:color w:val="2E4A7A"/>
          <w:sz w:val="28"/>
          <w:szCs w:val="28"/>
        </w:rPr>
        <w:t xml:space="preserve">6.1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Component</w:t>
            </w:r>
          </w:p>
        </w:tc>
        <w:tc>
          <w:tcPr>
            <w:tcW w:type="dxa" w:w="2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Library / Tool</w:t>
            </w:r>
          </w:p>
        </w:tc>
        <w:tc>
          <w:tcPr>
            <w:tcW w:type="dxa" w:w="4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EEG I/O &amp; preprocessing</w:t>
            </w:r>
          </w:p>
        </w:tc>
        <w:tc>
          <w:tcPr>
            <w:tcW w:type="dxa" w:w="2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MNE-Python ≥ 1.5.0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Reading .edf files, filtering, epoching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Deep learning</w:t>
            </w:r>
          </w:p>
        </w:tc>
        <w:tc>
          <w:tcPr>
            <w:tcW w:type="dxa" w:w="2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PyTorch ≥ 2.4.1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EEGNet, ShallowConvNet training &amp; inference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GPU acceleration</w:t>
            </w:r>
          </w:p>
        </w:tc>
        <w:tc>
          <w:tcPr>
            <w:tcW w:type="dxa" w:w="2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torch-directml 0.2.5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AMD Radeon RX 6600M support on Windows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Classical ML</w:t>
            </w:r>
          </w:p>
        </w:tc>
        <w:tc>
          <w:tcPr>
            <w:tcW w:type="dxa" w:w="2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scikit-learn ≥ 1.3.0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LDA, SVM, StandardScaler, metrics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CSP spatial filters</w:t>
            </w:r>
          </w:p>
        </w:tc>
        <w:tc>
          <w:tcPr>
            <w:tcW w:type="dxa" w:w="2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MNE decoding module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CSP 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Numerical computing</w:t>
            </w:r>
          </w:p>
        </w:tc>
        <w:tc>
          <w:tcPr>
            <w:tcW w:type="dxa" w:w="2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NumPy ≥ 1.24.0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Array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Signal processing</w:t>
            </w:r>
          </w:p>
        </w:tc>
        <w:tc>
          <w:tcPr>
            <w:tcW w:type="dxa" w:w="2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SciPy ≥ 1.10.0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IIR filtering, Welch PSD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Data management</w:t>
            </w:r>
          </w:p>
        </w:tc>
        <w:tc>
          <w:tcPr>
            <w:tcW w:type="dxa" w:w="2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Pandas ≥ 2.0.0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Results tables, BIDS metadata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Model serialization</w:t>
            </w:r>
          </w:p>
        </w:tc>
        <w:tc>
          <w:tcPr>
            <w:tcW w:type="dxa" w:w="2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PyTorch / Joblib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Checkpoint saving/loading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Development environment</w:t>
            </w:r>
          </w:p>
        </w:tc>
        <w:tc>
          <w:tcPr>
            <w:tcW w:type="dxa" w:w="2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JupyterLab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Interactive notebooks (multi_nn conda env)</w:t>
            </w:r>
          </w:p>
        </w:tc>
      </w:tr>
    </w:tbl>
    <w:p>
      <w:pPr>
        <w:spacing w:after="120"/>
      </w:pPr>
      <w:r>
        <w:t xml:space="preserve"/>
      </w:r>
    </w:p>
    <w:p>
      <w:pPr>
        <w:pStyle w:val="Heading2"/>
      </w:pPr>
      <w:r>
        <w:rPr>
          <w:rFonts w:ascii="Arial" w:cs="Arial" w:eastAsia="Arial" w:hAnsi="Arial"/>
          <w:b/>
          <w:bCs/>
          <w:color w:val="2E4A7A"/>
          <w:sz w:val="28"/>
          <w:szCs w:val="28"/>
        </w:rPr>
        <w:t xml:space="preserve">6.2 Pipeline Architecture</w:t>
      </w:r>
    </w:p>
    <w:p>
      <w:pPr>
        <w:spacing w:after="120"/>
      </w:pPr>
      <w:r>
        <w:rPr>
          <w:rFonts w:ascii="Arial" w:cs="Arial" w:eastAsia="Arial" w:hAnsi="Arial"/>
          <w:sz w:val="24"/>
          <w:szCs w:val="24"/>
        </w:rPr>
        <w:t xml:space="preserve">The complete pipeline is organized into four independent Jupyter notebooks (one per method), each following an identical six-section structure:</w:t>
      </w:r>
    </w:p>
    <w:p>
      <w:pPr>
        <w:pStyle w:val="ListParagraph"/>
        <w:numPr>
          <w:ilvl w:val="0"/>
          <w:numId w:val="2"/>
        </w:numPr>
        <w:spacing w:after="80"/>
      </w:pPr>
      <w:r>
        <w:rPr>
          <w:rFonts w:ascii="Arial" w:cs="Arial" w:eastAsia="Arial" w:hAnsi="Arial"/>
          <w:sz w:val="24"/>
          <w:szCs w:val="24"/>
        </w:rPr>
        <w:t xml:space="preserve">Section 1: Imports, configuration, and device detection (DirectML AMD GPU / CUDA / CPU)</w:t>
      </w:r>
    </w:p>
    <w:p>
      <w:pPr>
        <w:pStyle w:val="ListParagraph"/>
        <w:numPr>
          <w:ilvl w:val="0"/>
          <w:numId w:val="2"/>
        </w:numPr>
        <w:spacing w:after="80"/>
      </w:pPr>
      <w:r>
        <w:rPr>
          <w:rFonts w:ascii="Arial" w:cs="Arial" w:eastAsia="Arial" w:hAnsi="Arial"/>
          <w:sz w:val="24"/>
          <w:szCs w:val="24"/>
        </w:rPr>
        <w:t xml:space="preserve">Section 2: Data loader — iterates the BIDS directory tree, loads EDF files, applies preprocessing</w:t>
      </w:r>
    </w:p>
    <w:p>
      <w:pPr>
        <w:pStyle w:val="ListParagraph"/>
        <w:numPr>
          <w:ilvl w:val="0"/>
          <w:numId w:val="2"/>
        </w:numPr>
        <w:spacing w:after="80"/>
      </w:pPr>
      <w:r>
        <w:rPr>
          <w:rFonts w:ascii="Arial" w:cs="Arial" w:eastAsia="Arial" w:hAnsi="Arial"/>
          <w:sz w:val="24"/>
          <w:szCs w:val="24"/>
        </w:rPr>
        <w:t xml:space="preserve">Section 3: Model/pipeline definition</w:t>
      </w:r>
    </w:p>
    <w:p>
      <w:pPr>
        <w:pStyle w:val="ListParagraph"/>
        <w:numPr>
          <w:ilvl w:val="0"/>
          <w:numId w:val="2"/>
        </w:numPr>
        <w:spacing w:after="80"/>
      </w:pPr>
      <w:r>
        <w:rPr>
          <w:rFonts w:ascii="Arial" w:cs="Arial" w:eastAsia="Arial" w:hAnsi="Arial"/>
          <w:sz w:val="24"/>
          <w:szCs w:val="24"/>
        </w:rPr>
        <w:t xml:space="preserve">Section 4: Training loop — iterates all subjects × all sessions × LORO-CV folds</w:t>
      </w:r>
    </w:p>
    <w:p>
      <w:pPr>
        <w:pStyle w:val="ListParagraph"/>
        <w:numPr>
          <w:ilvl w:val="0"/>
          <w:numId w:val="2"/>
        </w:numPr>
        <w:spacing w:after="80"/>
      </w:pPr>
      <w:r>
        <w:rPr>
          <w:rFonts w:ascii="Arial" w:cs="Arial" w:eastAsia="Arial" w:hAnsi="Arial"/>
          <w:sz w:val="24"/>
          <w:szCs w:val="24"/>
        </w:rPr>
        <w:t xml:space="preserve">Section 5: Summary visualization — per-subject bar chart and subject×session heatmap</w:t>
      </w:r>
    </w:p>
    <w:p>
      <w:pPr>
        <w:pStyle w:val="ListParagraph"/>
        <w:numPr>
          <w:ilvl w:val="0"/>
          <w:numId w:val="2"/>
        </w:numPr>
        <w:spacing w:after="80"/>
      </w:pPr>
      <w:r>
        <w:rPr>
          <w:rFonts w:ascii="Arial" w:cs="Arial" w:eastAsia="Arial" w:hAnsi="Arial"/>
          <w:sz w:val="24"/>
          <w:szCs w:val="24"/>
        </w:rPr>
        <w:t xml:space="preserve">Section 6: Real-time simulation — streams held-out run, generates probability traces and accuracy</w:t>
      </w:r>
    </w:p>
    <w:p>
      <w:pPr>
        <w:spacing w:after="120"/>
      </w:pPr>
      <w:r>
        <w:t xml:space="preserve"/>
      </w:r>
    </w:p>
    <w:p>
      <w:pPr>
        <w:spacing w:after="120"/>
      </w:pPr>
      <w:r>
        <w:rPr>
          <w:rFonts w:ascii="Arial" w:cs="Arial" w:eastAsia="Arial" w:hAnsi="Arial"/>
          <w:sz w:val="24"/>
          <w:szCs w:val="24"/>
        </w:rPr>
        <w:t xml:space="preserve">This architecture allows any single notebook to be run independently without dependencies on the others. Checkpoints are saved with consistent naming: {method}_sub{XX}_ses{XX}_run{N}.pt/.pkl, where N is the held-out fold — making it immediately clear which training data was used.</w:t>
      </w:r>
    </w:p>
    <w:p>
      <w:pPr>
        <w:spacing w:after="120"/>
      </w:pPr>
      <w:r>
        <w:t xml:space="preserve"/>
      </w:r>
    </w:p>
    <w:p>
      <w:pPr>
        <w:pStyle w:val="Heading2"/>
      </w:pPr>
      <w:r>
        <w:rPr>
          <w:rFonts w:ascii="Arial" w:cs="Arial" w:eastAsia="Arial" w:hAnsi="Arial"/>
          <w:b/>
          <w:bCs/>
          <w:color w:val="2E4A7A"/>
          <w:sz w:val="28"/>
          <w:szCs w:val="28"/>
        </w:rPr>
        <w:t xml:space="preserve">6.3 Reproducibility</w:t>
      </w:r>
    </w:p>
    <w:p>
      <w:pPr>
        <w:spacing w:after="120"/>
      </w:pPr>
      <w:r>
        <w:rPr>
          <w:rFonts w:ascii="Arial" w:cs="Arial" w:eastAsia="Arial" w:hAnsi="Arial"/>
          <w:sz w:val="24"/>
          <w:szCs w:val="24"/>
        </w:rPr>
        <w:t xml:space="preserve">All random seeds were fixed (NumPy seed 42, PyTorch seed 42). Data loading, preprocessing, and model initialization are fully deterministic given the same random seed. Checkpoints from all completed experiments are archived and can be loaded for inference without re-training.</w:t>
      </w:r>
    </w:p>
    <w:p>
      <w:pPr>
        <w:spacing w:after="120"/>
      </w:pPr>
      <w:r>
        <w:t xml:space="preserve"/>
      </w:r>
    </w:p>
    <w:p>
      <w:pPr>
        <w:pStyle w:val="Heading1"/>
      </w:pPr>
      <w:r>
        <w:rPr>
          <w:rFonts w:ascii="Arial" w:cs="Arial" w:eastAsia="Arial" w:hAnsi="Arial"/>
          <w:b/>
          <w:bCs/>
          <w:color w:val="2E4A7A"/>
          <w:sz w:val="36"/>
          <w:szCs w:val="36"/>
        </w:rPr>
        <w:t xml:space="preserve">7. Conclusions</w:t>
      </w:r>
    </w:p>
    <w:p>
      <w:pPr>
        <w:spacing w:after="120"/>
      </w:pPr>
      <w:r>
        <w:rPr>
          <w:rFonts w:ascii="Arial" w:cs="Arial" w:eastAsia="Arial" w:hAnsi="Arial"/>
          <w:sz w:val="24"/>
          <w:szCs w:val="24"/>
        </w:rPr>
        <w:t xml:space="preserve">This project successfully implemented, evaluated, and compared four EEG Motor Imagery classification methods on a clinically relevant dataset of 11 subjects, demonstrating that non-invasive BCI-based motor imagery decoding is feasible across both SCI patients and healthy controls.</w:t>
      </w:r>
    </w:p>
    <w:p>
      <w:pPr>
        <w:spacing w:after="120"/>
      </w:pPr>
      <w:r>
        <w:t xml:space="preserve"/>
      </w:r>
    </w:p>
    <w:p>
      <w:pPr>
        <w:spacing w:after="120"/>
      </w:pPr>
      <w:r>
        <w:rPr>
          <w:rFonts w:ascii="Arial" w:cs="Arial" w:eastAsia="Arial" w:hAnsi="Arial"/>
          <w:sz w:val="24"/>
          <w:szCs w:val="24"/>
        </w:rPr>
        <w:t xml:space="preserve">The key findings are:</w:t>
      </w:r>
    </w:p>
    <w:p>
      <w:pPr>
        <w:pStyle w:val="ListParagraph"/>
        <w:numPr>
          <w:ilvl w:val="0"/>
          <w:numId w:val="2"/>
        </w:numPr>
        <w:spacing w:after="80"/>
      </w:pPr>
      <w:r>
        <w:rPr>
          <w:rFonts w:ascii="Arial" w:cs="Arial" w:eastAsia="Arial" w:hAnsi="Arial"/>
          <w:sz w:val="24"/>
          <w:szCs w:val="24"/>
        </w:rPr>
        <w:t xml:space="preserve">EEGNet achieved the strongest cross-subject generalization at 72.1% mean accuracy in LOSO-CV, demonstrating that a compact neural network can learn transferable motor imagery features without overfitting to small training sets.</w:t>
      </w:r>
    </w:p>
    <w:p>
      <w:pPr>
        <w:pStyle w:val="ListParagraph"/>
        <w:numPr>
          <w:ilvl w:val="0"/>
          <w:numId w:val="2"/>
        </w:numPr>
        <w:spacing w:after="80"/>
      </w:pPr>
      <w:r>
        <w:rPr>
          <w:rFonts w:ascii="Arial" w:cs="Arial" w:eastAsia="Arial" w:hAnsi="Arial"/>
          <w:sz w:val="24"/>
          <w:szCs w:val="24"/>
        </w:rPr>
        <w:t xml:space="preserve">ShallowConvNet showed competitive within-subject performance (66.5% mean across all sessions) and revealed a clinically important learning trajectory: subjects improved their BCI control by up to 16 percentage points over 6 training sessions.</w:t>
      </w:r>
    </w:p>
    <w:p>
      <w:pPr>
        <w:pStyle w:val="ListParagraph"/>
        <w:numPr>
          <w:ilvl w:val="0"/>
          <w:numId w:val="2"/>
        </w:numPr>
        <w:spacing w:after="80"/>
      </w:pPr>
      <w:r>
        <w:rPr>
          <w:rFonts w:ascii="Arial" w:cs="Arial" w:eastAsia="Arial" w:hAnsi="Arial"/>
          <w:sz w:val="24"/>
          <w:szCs w:val="24"/>
        </w:rPr>
        <w:t xml:space="preserve">CSP+LDA remains a strong baseline with training times under 100 ms, making it ideal for rapid calibration in a clinical setting where training speed matters as much as accuracy.</w:t>
      </w:r>
    </w:p>
    <w:p>
      <w:pPr>
        <w:pStyle w:val="ListParagraph"/>
        <w:numPr>
          <w:ilvl w:val="0"/>
          <w:numId w:val="2"/>
        </w:numPr>
        <w:spacing w:after="80"/>
      </w:pPr>
      <w:r>
        <w:rPr>
          <w:rFonts w:ascii="Arial" w:cs="Arial" w:eastAsia="Arial" w:hAnsi="Arial"/>
          <w:sz w:val="24"/>
          <w:szCs w:val="24"/>
        </w:rPr>
        <w:t xml:space="preserve">Band-Power SVM, while directly replicating the published methodology, underperformed in our evaluation; hyperparameter optimization and broader frequency ranges may close this gap.</w:t>
      </w:r>
    </w:p>
    <w:p>
      <w:pPr>
        <w:pStyle w:val="ListParagraph"/>
        <w:numPr>
          <w:ilvl w:val="0"/>
          <w:numId w:val="2"/>
        </w:numPr>
        <w:spacing w:after="80"/>
      </w:pPr>
      <w:r>
        <w:rPr>
          <w:rFonts w:ascii="Arial" w:cs="Arial" w:eastAsia="Arial" w:hAnsi="Arial"/>
          <w:sz w:val="24"/>
          <w:szCs w:val="24"/>
        </w:rPr>
        <w:t xml:space="preserve">All methods are computationally feasible for real-time deployment, with within-subject trained models producing well-calibrated probability outputs suitable for BCI-FES triggering.</w:t>
      </w:r>
    </w:p>
    <w:p>
      <w:pPr>
        <w:pStyle w:val="ListParagraph"/>
        <w:numPr>
          <w:ilvl w:val="0"/>
          <w:numId w:val="2"/>
        </w:numPr>
        <w:spacing w:after="80"/>
      </w:pPr>
      <w:r>
        <w:rPr>
          <w:rFonts w:ascii="Arial" w:cs="Arial" w:eastAsia="Arial" w:hAnsi="Arial"/>
          <w:sz w:val="24"/>
          <w:szCs w:val="24"/>
        </w:rPr>
        <w:t xml:space="preserve">Inter-subject variability is the dominant source of performance variation — more impactful than the choice of classification algorithm — highlighting the importance of subject-specific calibration and adaptive BCI systems.</w:t>
      </w:r>
    </w:p>
    <w:p>
      <w:pPr>
        <w:spacing w:after="120"/>
      </w:pPr>
      <w:r>
        <w:t xml:space="preserve"/>
      </w:r>
    </w:p>
    <w:p>
      <w:pPr>
        <w:spacing w:after="120"/>
      </w:pPr>
      <w:r>
        <w:rPr>
          <w:rFonts w:ascii="Arial" w:cs="Arial" w:eastAsia="Arial" w:hAnsi="Arial"/>
          <w:sz w:val="24"/>
          <w:szCs w:val="24"/>
        </w:rPr>
        <w:t xml:space="preserve">Taken together, these results support the conclusion that EEG-based motor imagery classification can achieve clinically useful accuracy for a majority of subjects, and that continued BCI training sessions improve performance over time. Future work should investigate adaptive or personalized models that continuously update using new session data, explore transfer learning strategies to accelerate calibration for new subjects, and evaluate performance in a true online closed-loop BCI-FES system.</w:t>
      </w:r>
    </w:p>
    <w:p>
      <w:pPr>
        <w:spacing w:after="120"/>
      </w:pPr>
      <w:r>
        <w:t xml:space="preserve"/>
      </w:r>
    </w:p>
    <w:p>
      <w:pPr>
        <w:pStyle w:val="Heading1"/>
      </w:pPr>
      <w:r>
        <w:rPr>
          <w:rFonts w:ascii="Arial" w:cs="Arial" w:eastAsia="Arial" w:hAnsi="Arial"/>
          <w:b/>
          <w:bCs/>
          <w:color w:val="2E4A7A"/>
          <w:sz w:val="36"/>
          <w:szCs w:val="36"/>
        </w:rPr>
        <w:t xml:space="preserve">8. References</w:t>
      </w:r>
    </w:p>
    <w:p>
      <w:pPr>
        <w:spacing w:after="120"/>
      </w:pPr>
      <w:r>
        <w:rPr>
          <w:rFonts w:ascii="Arial" w:cs="Arial" w:eastAsia="Arial" w:hAnsi="Arial"/>
          <w:sz w:val="24"/>
          <w:szCs w:val="24"/>
        </w:rPr>
        <w:t xml:space="preserve">[1] Davis, K., Gant, K., Prins, N., Guerra, S., &amp; Prasad, A. EEG Motor Imagery comparison between patients with and without spinal cord injury. University of Miami Miller School of Medicine, Department of Biomedical Engineering. BIDS v1.7.0 dataset.</w:t>
      </w:r>
    </w:p>
    <w:p>
      <w:pPr>
        <w:spacing w:after="120"/>
      </w:pPr>
      <w:r>
        <w:t xml:space="preserve"/>
      </w:r>
    </w:p>
    <w:p>
      <w:pPr>
        <w:spacing w:after="120"/>
      </w:pPr>
      <w:r>
        <w:rPr>
          <w:rFonts w:ascii="Arial" w:cs="Arial" w:eastAsia="Arial" w:hAnsi="Arial"/>
          <w:sz w:val="24"/>
          <w:szCs w:val="24"/>
        </w:rPr>
        <w:t xml:space="preserve">[2] Lawhern, V. J., Solon, A. J., Waytowich, N. R., Gordon, S. M., Hung, C. P., &amp; Lance, B. J. (2018). EEGNet: A compact convolutional neural network for EEG-based brain-computer interfaces. Journal of Neural Engineering, 15(5), 056013.</w:t>
      </w:r>
    </w:p>
    <w:p>
      <w:pPr>
        <w:spacing w:after="120"/>
      </w:pPr>
      <w:r>
        <w:t xml:space="preserve"/>
      </w:r>
    </w:p>
    <w:p>
      <w:pPr>
        <w:spacing w:after="120"/>
      </w:pPr>
      <w:r>
        <w:rPr>
          <w:rFonts w:ascii="Arial" w:cs="Arial" w:eastAsia="Arial" w:hAnsi="Arial"/>
          <w:sz w:val="24"/>
          <w:szCs w:val="24"/>
        </w:rPr>
        <w:t xml:space="preserve">[3] Schirrmeister, R. T., Springenberg, J. T., Fiederer, L. D. J., Glasstetter, M., Eggensperger, K., Tangermann, M., ... &amp; Ball, T. (2017). Deep learning with convolutional neural networks for EEG decoding and visualization. Human Brain Mapping, 38(11), 5391–5420.</w:t>
      </w:r>
    </w:p>
    <w:p>
      <w:pPr>
        <w:spacing w:after="120"/>
      </w:pPr>
      <w:r>
        <w:t xml:space="preserve"/>
      </w:r>
    </w:p>
    <w:p>
      <w:pPr>
        <w:spacing w:after="120"/>
      </w:pPr>
      <w:r>
        <w:rPr>
          <w:rFonts w:ascii="Arial" w:cs="Arial" w:eastAsia="Arial" w:hAnsi="Arial"/>
          <w:sz w:val="24"/>
          <w:szCs w:val="24"/>
        </w:rPr>
        <w:t xml:space="preserve">[4] Pfurtscheller, G., &amp; Lopes da Silva, F. H. (1999). Event-related EEG/MEG synchronization and desynchronization: basic principles. Clinical Neurophysiology, 110(11), 1842–1857.</w:t>
      </w:r>
    </w:p>
    <w:p>
      <w:pPr>
        <w:spacing w:after="120"/>
      </w:pPr>
      <w:r>
        <w:t xml:space="preserve"/>
      </w:r>
    </w:p>
    <w:p>
      <w:pPr>
        <w:spacing w:after="120"/>
      </w:pPr>
      <w:r>
        <w:rPr>
          <w:rFonts w:ascii="Arial" w:cs="Arial" w:eastAsia="Arial" w:hAnsi="Arial"/>
          <w:sz w:val="24"/>
          <w:szCs w:val="24"/>
        </w:rPr>
        <w:t xml:space="preserve">[5] Gramfort, A., et al. (2013). MEG and EEG data analysis with MNE-Python. Frontiers in Neuroscience, 7, 267.</w:t>
      </w:r>
    </w:p>
    <w:p>
      <w:pPr>
        <w:spacing w:after="120"/>
      </w:pPr>
      <w:r>
        <w:t xml:space="preserve"/>
      </w:r>
    </w:p>
    <w:p>
      <w:pPr>
        <w:spacing w:after="120"/>
      </w:pPr>
      <w:r>
        <w:rPr>
          <w:rFonts w:ascii="Arial" w:cs="Arial" w:eastAsia="Arial" w:hAnsi="Arial"/>
          <w:sz w:val="24"/>
          <w:szCs w:val="24"/>
        </w:rPr>
        <w:t xml:space="preserve">[6] Gorgolewski, K. J., et al. (2016). The brain imaging data structure: A format for organizing and describing outputs of neuroimaging experiments. Scientific Data, 3, 160044.</w:t>
      </w:r>
    </w:p>
    <w:p>
      <w:pPr>
        <w:spacing w:after="120"/>
      </w:pPr>
      <w:r>
        <w:t xml:space="preserve"/>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6" w:space="1"/>
      </w:pBdr>
      <w:tabs>
        <w:tab w:val="right" w:pos="9360"/>
      </w:tabs>
    </w:pPr>
    <w:r>
      <w:rPr>
        <w:rFonts w:ascii="Arial" w:cs="Arial" w:eastAsia="Arial" w:hAnsi="Arial"/>
        <w:b/>
        <w:bCs/>
        <w:color w:val="2E4A7A"/>
        <w:sz w:val="20"/>
        <w:szCs w:val="20"/>
      </w:rPr>
      <w:t xml:space="preserve">EEG Motor Imagery Classification — Master's Project Report</w:t>
    </w:r>
    <w:r>
      <w:rPr>
        <w:rFonts w:ascii="Arial" w:cs="Arial" w:eastAsia="Arial" w:hAnsi="Arial"/>
        <w:sz w:val="20"/>
        <w:szCs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A7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4A7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2026-04-07T01:44:45.327Z</dcterms:created>
  <dcterms:modified xsi:type="dcterms:W3CDTF">2026-04-07T01:44:45.328Z</dcterms:modified>
</cp:coreProperties>
</file>

<file path=docProps/custom.xml><?xml version="1.0" encoding="utf-8"?>
<Properties xmlns="http://schemas.openxmlformats.org/officeDocument/2006/custom-properties" xmlns:vt="http://schemas.openxmlformats.org/officeDocument/2006/docPropsVTypes"/>
</file>