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4813F">
      <w:pPr>
        <w:pStyle w:val="2"/>
        <w:bidi w:val="0"/>
        <w:jc w:val="center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实物资产代币化合规路径深度解析</w:t>
      </w:r>
    </w:p>
    <w:p w14:paraId="5FCE1261">
      <w:pPr>
        <w:pStyle w:val="3"/>
        <w:bidi w:val="0"/>
        <w:spacing w:before="0" w:after="0"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一、全球监管框架的差异化布局</w:t>
      </w:r>
    </w:p>
    <w:p w14:paraId="45AE88BA">
      <w:pPr>
        <w:pStyle w:val="4"/>
        <w:bidi w:val="0"/>
        <w:spacing w:beforeAutospacing="0" w:afterAutospacing="0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  <w:t>实物资产代币化（RWA）的合规性高度依赖区域性政策。当前主要市场呈现以下特征：</w:t>
      </w:r>
    </w:p>
    <w:p w14:paraId="23F51D9D">
      <w:pPr>
        <w:pStyle w:val="6"/>
        <w:bidi w:val="0"/>
        <w:spacing w:beforeAutospacing="0" w:afterAutospacing="0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香港：沙盒机制与分层监管</w:t>
      </w:r>
    </w:p>
    <w:p w14:paraId="75F781DA">
      <w:pPr>
        <w:pStyle w:val="6"/>
        <w:bidi w:val="0"/>
        <w:spacing w:beforeAutospacing="0" w:afterAutospacing="0"/>
        <w:ind w:firstLine="480" w:firstLineChars="200"/>
        <w:rPr>
          <w:rStyle w:val="10"/>
          <w:rFonts w:hint="default"/>
          <w:lang w:val="en-US" w:eastAsia="zh-CN"/>
          <w:woUserID w:val="0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香港金管局2024年发布的《销售及分销代币化产品》通函，明确要求机构在代币化产品发行中执行尽职调查（如发行方资质评估、第三方服务商审查）和风险披露（包括智能合约漏洞、资产托管风险等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instrText xml:space="preserve"> REF _Ref19333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t>[1]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 w14:paraId="372E1FD6">
      <w:pPr>
        <w:pStyle w:val="6"/>
        <w:bidi w:val="0"/>
        <w:spacing w:beforeAutospacing="0" w:afterAutospacing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证券型代币需符合《证券及期货条例》，而定向发行的代币化贵金属等产品则适用灵活规则，豁免稳定币监管以降低合规成本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 w14:paraId="018B4483">
      <w:pPr>
        <w:pStyle w:val="6"/>
        <w:bidi w:val="0"/>
        <w:spacing w:beforeAutospacing="0" w:afterAutospacing="0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跨境协作：蚂蚁链的“两链一桥”平台（连接内地资产与香港沙盒）成为典型案例，通过物联网实时上传充电桩运营数据，解决链下资产可信映射问题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 w14:paraId="51DEEA1C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美国：政策松绑与机构入场</w:t>
      </w:r>
    </w:p>
    <w:p w14:paraId="644F6B64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特朗普政府推动放宽加密货币限制，开放银行渠道促进RWA发行。贝莱德推出代币化货币基金，摩根大通Kinexys平台日交易额达20亿美元，显示机构级应用加速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 REF _Ref20162 \r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[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t>2]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7A17DBF1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但SEC对证券型代币仍持审慎态度，要求符合豪伊测试（Howey Test），并强化AML/KYC嵌入智能合约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_Ref20179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[5]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1E0AD7DD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欧盟与英国：立法先行</w:t>
      </w:r>
    </w:p>
    <w:p w14:paraId="27E14082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英国《数字资产法案》（2024年）将代币化资产纳入财产权保护，欧盟MiCA框架要求代币发行方披露技术架构与托管方案，强化透明度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_Ref20205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[3]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instrText xml:space="preserve"> REF _Ref20221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t>[4]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1CD4BDC7">
      <w:pPr>
        <w:pStyle w:val="3"/>
        <w:bidi w:val="0"/>
        <w:spacing w:before="0" w:after="0" w:line="240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二、技术合规的核心维度</w:t>
      </w:r>
    </w:p>
    <w:p w14:paraId="7EF18939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资产确权与上链标准</w:t>
      </w:r>
    </w:p>
    <w:p w14:paraId="32FB3807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法律文件要求需提供资产所有权证明（如不动产登记证、艺术品鉴定报告）、历史交易记录及第三方评估文件，香港案例中朗新科技的充电桩项目即包含设备发票与运营数据。</w:t>
      </w:r>
    </w:p>
    <w:p w14:paraId="4DF18D56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代币标准选择</w:t>
      </w:r>
    </w:p>
    <w:p w14:paraId="49628708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ERC-3643：专为RWA设计，内置白名单机制限制非合规地址交易，适用于需严格准入的房地产或大宗商品。</w:t>
      </w:r>
    </w:p>
    <w:p w14:paraId="7FD8E023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ERC-1400：整合证券合规要求，支持权限管理模块，被Centrifuge等机构用于供应链金融代币化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_Ref20254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[6]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612ABB4F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ERC-1155：支持同一合约内发行可分割代币（如黄金）与NFT（如艺术品），提升资产组合管理效率。</w:t>
      </w:r>
    </w:p>
    <w:p w14:paraId="2190B247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数据隐私与安全架构</w:t>
      </w:r>
    </w:p>
    <w:p w14:paraId="30DCDBFE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零知识证明（ZKP）：蚂蚁链充电桩项目采用ZKP技术，实现收益数据可验证而不泄露用户隐私。</w:t>
      </w:r>
    </w:p>
    <w:p w14:paraId="21A54C7A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混合托管模式：Chainlink预言机提供链下资产状态验证，结合冷钱包托管实物黄金，确保数据与资产双重安全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_Ref20179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[5]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31B57A99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跨境流通解决方案</w:t>
      </w:r>
    </w:p>
    <w:p w14:paraId="17F244CA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离岸-在岸模式：香港沙盒允许内地企业通过SPV结构将资产代币化后跨境流通，规避内地政策限制。例如，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朗新科技</w:t>
      </w:r>
      <w:r>
        <w:rPr>
          <w:rFonts w:hint="eastAsia" w:ascii="微软雅黑" w:hAnsi="微软雅黑" w:eastAsia="微软雅黑" w:cs="微软雅黑"/>
          <w:sz w:val="24"/>
          <w:szCs w:val="24"/>
        </w:rPr>
        <w:t>公司通过香港平台发行债券型代币，募资用于内地充电桩建设。</w:t>
      </w:r>
    </w:p>
    <w:p w14:paraId="73693035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司法管辖条款：英国法案明确代币化纠纷可适用传统财产法，智能合约需预设争议触发冻结机制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_Ref20205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[3]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3113F8D7">
      <w:pPr>
        <w:pStyle w:val="3"/>
        <w:bidi w:val="0"/>
        <w:spacing w:before="0" w:after="0" w:line="240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三、风险应对与行业实践</w:t>
      </w:r>
    </w:p>
    <w:p w14:paraId="6EEA1658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监管套利风险</w:t>
      </w:r>
    </w:p>
    <w:p w14:paraId="1B0A8912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企业可参与香港Ensemble、新加坡Project Guardian等监管沙盒，在限定场景验证合规模型。蚂蚁链通过沙盒完成充电桩项目合规性压力测试。</w:t>
      </w:r>
    </w:p>
    <w:p w14:paraId="46FB2F1B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动态合规更新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需跟踪政策变化，如美国若将代币化债券纳入SEC监管，发行方需调整代币标准至ERC-1400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_Ref20254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[6]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5ABFDD08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技术漏洞防范</w:t>
      </w:r>
    </w:p>
    <w:p w14:paraId="6C1F43EB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智能合约审计：第三方机构如CertiK对代码进行形式化验证，确保无重入攻击等漏洞。BounceClub Quanto的200倍杠杆产品即通过多重审计降低爆仓风险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_Ref20378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[7]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7AE54944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灾备机制：采用多签钱包与跨链桥接（如Polygon zkEVM），防止单点故障导致资产锁死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_Ref20254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43C4053B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市场流动性策略</w:t>
      </w:r>
    </w:p>
    <w:p w14:paraId="53E92B34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sz w:val="24"/>
          <w:szCs w:val="24"/>
        </w:rPr>
        <w:t>分层代币设计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将资产进行分层，</w:t>
      </w:r>
      <w:r>
        <w:rPr>
          <w:rFonts w:hint="eastAsia" w:ascii="微软雅黑" w:hAnsi="微软雅黑" w:eastAsia="微软雅黑" w:cs="微软雅黑"/>
          <w:sz w:val="24"/>
          <w:szCs w:val="24"/>
        </w:rPr>
        <w:t>高净值资产（如稀土矿）发行所有权代币（NFT），收益权则分割为ERC-20代币，吸引不同风险偏好投资者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_Ref20179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[5]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5FC63DD6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其次以</w:t>
      </w:r>
      <w:r>
        <w:rPr>
          <w:rFonts w:hint="eastAsia" w:ascii="微软雅黑" w:hAnsi="微软雅黑" w:eastAsia="微软雅黑" w:cs="微软雅黑"/>
          <w:sz w:val="24"/>
          <w:szCs w:val="24"/>
        </w:rPr>
        <w:t>流动性挖矿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的形式</w:t>
      </w:r>
      <w:r>
        <w:rPr>
          <w:rFonts w:hint="eastAsia" w:ascii="微软雅黑" w:hAnsi="微软雅黑" w:eastAsia="微软雅黑" w:cs="微软雅黑"/>
          <w:sz w:val="24"/>
          <w:szCs w:val="24"/>
        </w:rPr>
        <w:t>奖励做市商，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</w:t>
      </w:r>
      <w:r>
        <w:rPr>
          <w:rFonts w:hint="eastAsia" w:ascii="微软雅黑" w:hAnsi="微软雅黑" w:eastAsia="微软雅黑" w:cs="微软雅黑"/>
          <w:sz w:val="24"/>
          <w:szCs w:val="24"/>
        </w:rPr>
        <w:t>Centrifuge对供应链金融代币提供年化12%的质押收益以提升交易深度。</w:t>
      </w:r>
    </w:p>
    <w:p w14:paraId="4919C5C3">
      <w:pPr>
        <w:pStyle w:val="3"/>
        <w:bidi w:val="0"/>
        <w:spacing w:before="0" w:after="0" w:line="240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四、前沿案例与趋势展望</w:t>
      </w:r>
    </w:p>
    <w:p w14:paraId="2E30397A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标杆项目分析</w:t>
      </w:r>
    </w:p>
    <w:p w14:paraId="24DA4D2B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蚂蚁链新能源充电桩：9000部充电桩上链后，投资者可通过代币获得电费分成收益，项目年化收益率达8%，较传统ABS发行成本降低30%。</w:t>
      </w:r>
    </w:p>
    <w:p w14:paraId="006749DE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BounceClub Quanto证券代币：支持Microstrategy（MSTR）等股票200倍杠杆交易，采用链上保证金机制与美股同步清算，非美用户占比超70%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_Ref20378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[7]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72DF9B9A"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  <w:t>行业预测</w:t>
      </w:r>
    </w:p>
    <w:p w14:paraId="2C5DF9EB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Broadridge预测2025年RWA市场规模将突破2000亿美元，代币化国债、票据成主流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_Ref20162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[2]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729312EC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AI驱动的动态定价模型（如Magic Eden艺术品估值）与RWA结合，实现资产价值实时重估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instrText xml:space="preserve"> REF _Ref20221 \r </w:instrTex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t>[4]</w:t>
      </w:r>
      <w:r>
        <w:rPr>
          <w:rFonts w:hint="eastAsia" w:ascii="微软雅黑" w:hAnsi="微软雅黑" w:eastAsia="微软雅黑" w:cs="微软雅黑"/>
          <w:sz w:val="24"/>
          <w:szCs w:val="24"/>
          <w:vertAlign w:val="superscript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 w14:paraId="3977823A">
      <w:pPr>
        <w:pStyle w:val="3"/>
        <w:bidi w:val="0"/>
        <w:spacing w:before="0" w:after="0" w:line="240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结语</w:t>
      </w:r>
    </w:p>
    <w:p w14:paraId="346B6FB5"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物资产代币化的合规路径需构建“法律确权-技术映射-跨境协作”三位一体框架。香港的沙盒机制与ERC标准体系为全球提供范本，但监管协调（如中美数据跨境流动规则）与技术互操作性（跨链桥安全性）仍是关键挑战。未来，RWA或将成为企业全球化资产配置的核心工具，但需警惕过度杠杆（如Quanto案例）引发的系统性风险。</w:t>
      </w:r>
      <w:bookmarkStart w:id="7" w:name="_GoBack"/>
      <w:bookmarkEnd w:id="7"/>
    </w:p>
    <w:p w14:paraId="027AFB07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（本文部分案例与政策引自香港金管局文件、华尔街市场报告及行业技术白皮书）</w:t>
      </w:r>
    </w:p>
    <w:p w14:paraId="28B9BAC1"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Ref19333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"https://baijiahao.baidu.com/s?id=1820578337577461522"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https://baijiahao.baidu.com/s?id=1820578337577461522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bookmarkEnd w:id="0"/>
    </w:p>
    <w:p w14:paraId="269B73DD"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1" w:name="_Ref20162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"https://m.sohu.com/a/843392704_122066678/?pvid=000115_3w_a"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https://m.sohu.com/a/843392704_122066678/?pvid=000115_3w_a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bookmarkEnd w:id="1"/>
    </w:p>
    <w:p w14:paraId="519CB28B"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2" w:name="_Ref20205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"https://www.shifd.net/yanjiu/detail/9899.html"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https://www.shifd.net/yanjiu/detail/9899.html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bookmarkEnd w:id="2"/>
    </w:p>
    <w:p w14:paraId="21ED5527"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3" w:name="_Ref20221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"https://m.sohu.com/a/843403152_121798711/?pvid=000115_3w_a"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https://m.sohu.com/a/843403152_121798711/?pvid=000115_3w_a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bookmarkEnd w:id="3"/>
    </w:p>
    <w:p w14:paraId="208F0062"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4" w:name="_Ref20179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"https://news.qq.com/rain/a/20241011A07L7900"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https://news.qq.com/rain/a/20241011A07L7900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bookmarkEnd w:id="4"/>
    </w:p>
    <w:p w14:paraId="0019752E"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5" w:name="_Ref20254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"https://www.defactor.com/zh/post/token-standards-for-real-world-assets-why-do-we-need-them"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https://www.defactor.com/zh/post/token-standards-for-real-world-assets-why-do-we-need-them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bookmarkEnd w:id="5"/>
    </w:p>
    <w:p w14:paraId="04998788"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6" w:name="_Ref20378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"https://m.sohu.com/a/844664958_122066678/?pvid=000115_3w_a"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https://m.sohu.com/a/844664958_122066678/?pvid=000115_3w_a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bookmarkEnd w:id="6"/>
    </w:p>
    <w:p w14:paraId="6316A26F"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33C276E9">
      <w:pPr>
        <w:rPr>
          <w:rFonts w:hint="eastAsia" w:ascii="微软雅黑" w:hAnsi="微软雅黑" w:eastAsia="微软雅黑" w:cs="微软雅黑"/>
          <w:i/>
          <w:iCs/>
          <w:color w:val="0000FF"/>
          <w:sz w:val="21"/>
          <w:szCs w:val="21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FD86C"/>
    <w:multiLevelType w:val="singleLevel"/>
    <w:tmpl w:val="A15FD86C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2025-02-19T16:39:53Z</dcterms:created>
  <dc:creator>11321</dc:creator>
  <cp:lastModifiedBy>知安.</cp:lastModifiedBy>
  <dcterms:modified xsi:type="dcterms:W3CDTF">2025-02-19T17:11:48Z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eyJoZGlkIjoiMjhjNTQ3MjQyZTVlYjAxNDhmMGMyYmU1YTBiYjE0NDEiLCJ1c2VySWQiOiI0MzcwNjU4NTcifQ==</vt:lpwstr>
  </property>
  <property fmtid="{D5CDD505-2E9C-101B-9397-08002B2CF9AE}" pid="4" name="ICV">
    <vt:lpwstr>FA36548E4A01438DA8CA233C42209A7D_12</vt:lpwstr>
  </property>
</Properties>
</file>