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E9064C">
      <w:pPr>
        <w:pStyle w:val="6"/>
        <w:keepNext w:val="0"/>
        <w:keepLines w:val="0"/>
        <w:widowControl/>
        <w:suppressLineNumbers w:val="0"/>
        <w:spacing w:line="240" w:lineRule="auto"/>
        <w:ind w:left="0" w:firstLine="4"/>
        <w:jc w:val="center"/>
        <w:textAlignment w:val="center"/>
        <w:rPr>
          <w:rFonts w:hint="default" w:ascii="Times New Roman" w:hAnsi="Times New Roman" w:eastAsia="宋体" w:cs="Times New Roman"/>
          <w:b/>
          <w:bCs/>
          <w:kern w:val="2"/>
          <w:sz w:val="44"/>
          <w:szCs w:val="4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44"/>
          <w:szCs w:val="44"/>
          <w:lang w:val="en-US" w:eastAsia="zh-CN" w:bidi="ar-SA"/>
        </w:rPr>
        <w:t>多模式CAES-BESS混合储能综合能源枢纽</w:t>
      </w:r>
    </w:p>
    <w:p w14:paraId="3144853B">
      <w:pPr>
        <w:rPr>
          <w:rFonts w:hint="default" w:ascii="Times New Roman" w:hAnsi="Times New Roman" w:eastAsia="宋体" w:cs="Times New Roman"/>
          <w:b/>
          <w:bCs/>
          <w:sz w:val="30"/>
          <w:szCs w:val="3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30"/>
          <w:szCs w:val="30"/>
          <w:lang w:val="en-US" w:eastAsia="zh-CN"/>
        </w:rPr>
        <w:t>1 系统架构</w:t>
      </w:r>
    </w:p>
    <w:p w14:paraId="794C8B77">
      <w:pPr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drawing>
          <wp:inline distT="0" distB="0" distL="114300" distR="114300">
            <wp:extent cx="5273040" cy="5145405"/>
            <wp:effectExtent l="0" t="0" r="0" b="17145"/>
            <wp:docPr id="1" name="图片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14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3C3D8">
      <w:pPr>
        <w:jc w:val="center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图 1、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多模式CAES-BESS混合储能综合能源枢纽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架构</w:t>
      </w:r>
    </w:p>
    <w:p w14:paraId="083488D3">
      <w:pPr>
        <w:rPr>
          <w:rFonts w:hint="default" w:ascii="Times New Roman" w:hAnsi="Times New Roman" w:eastAsia="宋体" w:cs="Times New Roman"/>
          <w:b/>
          <w:bCs/>
          <w:sz w:val="30"/>
          <w:szCs w:val="30"/>
          <w:lang w:val="en-US" w:eastAsia="zh-CN"/>
        </w:rPr>
      </w:pPr>
    </w:p>
    <w:p w14:paraId="0E56F6C7">
      <w:pPr>
        <w:rPr>
          <w:rFonts w:hint="default" w:ascii="Times New Roman" w:hAnsi="Times New Roman" w:eastAsia="宋体" w:cs="Times New Roman"/>
          <w:b/>
          <w:bCs/>
          <w:sz w:val="30"/>
          <w:szCs w:val="3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30"/>
          <w:szCs w:val="30"/>
          <w:lang w:val="en-US" w:eastAsia="zh-CN"/>
        </w:rPr>
        <w:t>2 系统层级参数情况</w:t>
      </w:r>
    </w:p>
    <w:p w14:paraId="21D91C5B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2.1 外部输入参数</w:t>
      </w:r>
    </w:p>
    <w:tbl>
      <w:tblPr>
        <w:tblStyle w:val="7"/>
        <w:tblW w:w="8522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7"/>
        <w:gridCol w:w="6995"/>
      </w:tblGrid>
      <w:tr w14:paraId="590405D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rPr>
          <w:trHeight w:val="0" w:hRule="atLeast"/>
          <w:tblHeader/>
          <w:jc w:val="center"/>
        </w:trPr>
        <w:tc>
          <w:tcPr>
            <w:tcW w:w="15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270691F">
            <w:pPr>
              <w:pStyle w:val="6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Style w:val="9"/>
                <w:rFonts w:hint="default" w:ascii="Times New Roman" w:hAnsi="Times New Roman" w:cs="Times New Roman"/>
                <w:b/>
                <w:bCs/>
              </w:rPr>
              <w:t>指标类别</w:t>
            </w:r>
          </w:p>
        </w:tc>
        <w:tc>
          <w:tcPr>
            <w:tcW w:w="69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F5444FC">
            <w:pPr>
              <w:pStyle w:val="6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Style w:val="9"/>
                <w:rFonts w:hint="default" w:ascii="Times New Roman" w:hAnsi="Times New Roman" w:cs="Times New Roman"/>
                <w:b/>
                <w:bCs/>
              </w:rPr>
              <w:t>传递的具体参数</w:t>
            </w:r>
          </w:p>
        </w:tc>
      </w:tr>
      <w:tr w14:paraId="7E3958A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756562C">
            <w:pPr>
              <w:pStyle w:val="6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Style w:val="9"/>
                <w:rFonts w:hint="default" w:ascii="Times New Roman" w:hAnsi="Times New Roman" w:eastAsia="宋体" w:cs="Times New Roman"/>
                <w:b w:val="0"/>
                <w:bCs w:val="0"/>
                <w:sz w:val="24"/>
              </w:rPr>
              <w:t>经济</w:t>
            </w:r>
          </w:p>
        </w:tc>
        <w:tc>
          <w:tcPr>
            <w:tcW w:w="69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6043F4A">
            <w:pPr>
              <w:pStyle w:val="6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• 分时购电价格</w:t>
            </w:r>
            <w:r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  <w:t xml:space="preserve"> </w:t>
            </w:r>
            <m:oMath>
              <m:sSubSup>
                <m:sSubSup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λ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t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c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p>
              </m:sSubSup>
            </m:oMath>
            <w:r>
              <w:rPr>
                <w:rFonts w:hint="default" w:ascii="Times New Roman" w:hAnsi="Times New Roman" w:eastAsia="宋体" w:cs="Times New Roman"/>
                <w:sz w:val="24"/>
              </w:rPr>
              <w:t>（元/kWh）</w:t>
            </w:r>
          </w:p>
          <w:p w14:paraId="05C8C3B6">
            <w:pPr>
              <w:pStyle w:val="6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• 向用户售电服务费</w:t>
            </w:r>
            <w:r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  <w:t xml:space="preserve"> </w:t>
            </w:r>
            <m:oMath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λ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s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p>
              </m:sSup>
            </m:oMath>
            <w:r>
              <w:rPr>
                <w:rFonts w:hint="default" w:ascii="Times New Roman" w:hAnsi="Times New Roman" w:eastAsia="宋体" w:cs="Times New Roman"/>
                <w:sz w:val="24"/>
              </w:rPr>
              <w:t>（元/kWh）</w:t>
            </w:r>
          </w:p>
          <w:p w14:paraId="6E073287">
            <w:pPr>
              <w:pStyle w:val="6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• 功率波动惩罚系数</w:t>
            </w:r>
            <w:r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  <w:t xml:space="preserve"> </w:t>
            </w:r>
            <m:oMath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λ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f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p>
              </m:sSup>
            </m:oMath>
            <w:r>
              <w:rPr>
                <w:rFonts w:hint="default" w:ascii="Times New Roman" w:hAnsi="Times New Roman" w:eastAsia="宋体" w:cs="Times New Roman"/>
                <w:sz w:val="24"/>
              </w:rPr>
              <w:t>（元/kWh）</w:t>
            </w:r>
          </w:p>
          <w:p w14:paraId="572C6837">
            <w:pPr>
              <w:pStyle w:val="6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• 氢气售价</w:t>
            </w:r>
            <w:r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  <w:t xml:space="preserve"> </w:t>
            </w:r>
            <m:oMath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λ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h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p>
              </m:sSup>
            </m:oMath>
            <w:r>
              <w:rPr>
                <w:rFonts w:hint="default" w:ascii="Times New Roman" w:hAnsi="Times New Roman" w:eastAsia="宋体" w:cs="Times New Roman"/>
                <w:sz w:val="24"/>
              </w:rPr>
              <w:t>（元/kg）</w:t>
            </w:r>
          </w:p>
          <w:p w14:paraId="2A42CC21">
            <w:pPr>
              <w:pStyle w:val="6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• 热水售价</w:t>
            </w:r>
            <w:r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  <w:t xml:space="preserve"> </w:t>
            </w:r>
            <m:oMath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λ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w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p>
              </m:sSup>
            </m:oMath>
            <w:r>
              <w:rPr>
                <w:rFonts w:hint="default" w:ascii="Times New Roman" w:hAnsi="Times New Roman" w:eastAsia="宋体" w:cs="Times New Roman"/>
                <w:sz w:val="24"/>
              </w:rPr>
              <w:t>（元/kg）</w:t>
            </w:r>
          </w:p>
          <w:p w14:paraId="3A9EF330">
            <w:pPr>
              <w:pStyle w:val="6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• BESS，CAES，电解槽的退化/启停成本系数（元/次或元/kWh）</w:t>
            </w:r>
          </w:p>
        </w:tc>
      </w:tr>
      <w:tr w14:paraId="6F8F1D5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259403C">
            <w:pPr>
              <w:pStyle w:val="6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能效</w:t>
            </w:r>
          </w:p>
        </w:tc>
        <w:tc>
          <w:tcPr>
            <w:tcW w:w="69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D35F08D">
            <w:pPr>
              <w:pStyle w:val="6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• PV：光伏板面积</w:t>
            </w:r>
            <w:r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  <w:t xml:space="preserve"> </w:t>
            </w:r>
            <m:oMath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S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PV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p>
              </m:sSup>
            </m:oMath>
            <w:r>
              <w:rPr>
                <w:rFonts w:hint="default" w:ascii="Times New Roman" w:hAnsi="Times New Roman" w:eastAsia="宋体" w:cs="Times New Roman"/>
                <w:sz w:val="24"/>
              </w:rPr>
              <w:t>(m²)，转换效率</w:t>
            </w:r>
            <w:r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  <w:t xml:space="preserve"> </w:t>
            </w:r>
            <m:oMath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η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PV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p>
              </m:sSup>
            </m:oMath>
            <w:r>
              <w:rPr>
                <w:rFonts w:hint="default" w:ascii="Times New Roman" w:hAnsi="Times New Roman" w:eastAsia="宋体" w:cs="Times New Roman"/>
                <w:sz w:val="24"/>
              </w:rPr>
              <w:t>，温度系数</w:t>
            </w:r>
            <w:r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  <w:t xml:space="preserve"> </w:t>
            </w:r>
            <m:oMath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r</m:t>
              </m:r>
            </m:oMath>
          </w:p>
          <w:p w14:paraId="4517EC3E">
            <w:pPr>
              <w:pStyle w:val="6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• WT：额定功率</w:t>
            </w:r>
            <w:r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  <w:t xml:space="preserve"> </w:t>
            </w:r>
            <m:oMath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bar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b w:val="0"/>
                          <w:i w:val="0"/>
                          <w:sz w:val="24"/>
                        </w:rPr>
                        <m:t>P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e>
                  </m:ba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WT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</m:sSub>
            </m:oMath>
            <w:r>
              <w:rPr>
                <w:rFonts w:hint="default" w:ascii="Times New Roman" w:hAnsi="Times New Roman" w:eastAsia="宋体" w:cs="Times New Roman"/>
                <w:sz w:val="24"/>
              </w:rPr>
              <w:t>(kW)，切入/额定/切出风速</w:t>
            </w:r>
            <w:r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  <w:t xml:space="preserve"> </w:t>
            </w:r>
            <m:oMath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v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in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v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r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v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off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</m:sSub>
            </m:oMath>
            <w:r>
              <w:rPr>
                <w:rFonts w:hint="default" w:ascii="Times New Roman" w:hAnsi="Times New Roman" w:eastAsia="宋体" w:cs="Times New Roman"/>
                <w:sz w:val="24"/>
              </w:rPr>
              <w:t>(m/s)</w:t>
            </w:r>
          </w:p>
          <w:p w14:paraId="308B19BB">
            <w:pPr>
              <w:pStyle w:val="6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• BESS：充放电效率</w:t>
            </w:r>
            <w:r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  <w:t xml:space="preserve"> </w:t>
            </w:r>
            <m:oMath>
              <m:sSubSup>
                <m:sSubSup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η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B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ch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p>
              </m:sSub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,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  <w:lang w:val="en-US" w:eastAsia="zh-CN"/>
                </w:rPr>
                <m:t xml:space="preserve"> </m:t>
              </m:r>
              <m:sSubSup>
                <m:sSubSup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η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B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dis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p>
              </m:sSubSup>
            </m:oMath>
          </w:p>
          <w:p w14:paraId="443E4A19">
            <w:pPr>
              <w:pStyle w:val="6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• CAES：压缩机/涡轮等熵效率</w:t>
            </w:r>
            <w:r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  <w:t xml:space="preserve"> </w:t>
            </w:r>
            <m:oMath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η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com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,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  <w:lang w:val="en-US" w:eastAsia="zh-CN"/>
                </w:rPr>
                <m:t xml:space="preserve"> 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η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tur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</m:sSub>
            </m:oMath>
            <w:r>
              <w:rPr>
                <w:rFonts w:hint="default" w:ascii="Times New Roman" w:hAnsi="Times New Roman" w:eastAsia="宋体" w:cs="Times New Roman"/>
                <w:sz w:val="24"/>
              </w:rPr>
              <w:t>，非设计工况下功率-流量拟合系数</w:t>
            </w:r>
          </w:p>
          <w:p w14:paraId="0FB86049">
            <w:pPr>
              <w:pStyle w:val="6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• PEM电解槽：制氢效率</w:t>
            </w:r>
            <w:r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  <w:t xml:space="preserve"> </w:t>
            </w:r>
            <m:oMath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η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Elz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p>
              </m:sSup>
            </m:oMath>
            <w:r>
              <w:rPr>
                <w:rFonts w:hint="default" w:ascii="Times New Roman" w:hAnsi="Times New Roman" w:eastAsia="宋体" w:cs="Times New Roman"/>
                <w:sz w:val="24"/>
              </w:rPr>
              <w:t>，氢气低热值</w:t>
            </w:r>
            <m:oMath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LH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V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b w:val="0"/>
                          <w:i w:val="0"/>
                          <w:sz w:val="24"/>
                        </w:rPr>
                        <m:t>H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b w:val="0"/>
                          <w:i w:val="0"/>
                          <w:sz w:val="24"/>
                        </w:rPr>
                        <m:t>2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</m:sSub>
            </m:oMath>
          </w:p>
        </w:tc>
      </w:tr>
      <w:tr w14:paraId="5D9A563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177CEBC">
            <w:pPr>
              <w:pStyle w:val="6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Style w:val="9"/>
                <w:rFonts w:hint="default" w:ascii="Times New Roman" w:hAnsi="Times New Roman" w:eastAsia="宋体" w:cs="Times New Roman"/>
                <w:b w:val="0"/>
                <w:bCs w:val="0"/>
                <w:sz w:val="24"/>
              </w:rPr>
              <w:t>碳排</w:t>
            </w:r>
          </w:p>
        </w:tc>
        <w:tc>
          <w:tcPr>
            <w:tcW w:w="69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8863DD6">
            <w:pPr>
              <w:pStyle w:val="6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• 电网碳排放因子 (</w:t>
            </w:r>
            <w:r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  <w:t>kg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CO₂/kWh) —— 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FF0000"/>
                <w:sz w:val="24"/>
              </w:rPr>
              <w:t>模型缺口，需补充</w:t>
            </w:r>
          </w:p>
        </w:tc>
      </w:tr>
      <w:tr w14:paraId="3C1C98B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9EAFA01">
            <w:pPr>
              <w:pStyle w:val="6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</w:rPr>
            </w:pPr>
            <w:r>
              <w:rPr>
                <w:rStyle w:val="9"/>
                <w:rFonts w:hint="default" w:ascii="Times New Roman" w:hAnsi="Times New Roman" w:eastAsia="宋体" w:cs="Times New Roman"/>
                <w:b w:val="0"/>
                <w:bCs w:val="0"/>
                <w:sz w:val="24"/>
              </w:rPr>
              <w:t>安全</w:t>
            </w:r>
          </w:p>
        </w:tc>
        <w:tc>
          <w:tcPr>
            <w:tcW w:w="69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EA451FC">
            <w:pPr>
              <w:pStyle w:val="6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• CAES：储气罐压力上下限 </w:t>
            </w:r>
            <m:oMath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[</m:t>
              </m:r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p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TK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,</m:t>
                  </m:r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min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,</m:t>
              </m:r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p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TK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,</m:t>
                  </m:r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max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]</m:t>
              </m:r>
            </m:oMath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(bar)，SOC 上下限 </w:t>
            </w:r>
            <m:oMath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[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SO</m:t>
              </m:r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C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C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,</m:t>
                  </m:r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min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,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</w:rPr>
                <m:t>SO</m:t>
              </m:r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C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C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,</m:t>
                  </m:r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max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]</m:t>
              </m:r>
            </m:oMath>
            <w:r>
              <w:rPr>
                <w:rFonts w:hint="default" w:ascii="Times New Roman" w:hAnsi="Times New Roman" w:eastAsia="宋体" w:cs="Times New Roman"/>
                <w:sz w:val="24"/>
              </w:rPr>
              <w:t>，压缩机/涡轮功率边界</w:t>
            </w:r>
          </w:p>
          <w:p w14:paraId="403E9FA2">
            <w:pPr>
              <w:pStyle w:val="6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• 电解槽：最小/最大功率 </w:t>
            </w:r>
            <m:oMath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P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Elz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,</m:t>
                  </m:r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min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,</m:t>
              </m:r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P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Elz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,</m:t>
                  </m:r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max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p>
              </m:sSup>
            </m:oMath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(kW)</w:t>
            </w:r>
          </w:p>
          <w:p w14:paraId="7B925BAD">
            <w:pPr>
              <w:pStyle w:val="6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• 系统：CAES充放互斥约束（</w:t>
            </w:r>
            <m:oMath>
              <m:sSubSup>
                <m:sSubSup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u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t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c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p>
              </m:sSub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⋅</m:t>
              </m:r>
              <m:sSubSup>
                <m:sSubSup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u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t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p>
              </m:sSub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</w:rPr>
                <m:t>=0</m:t>
              </m:r>
            </m:oMath>
            <w:r>
              <w:rPr>
                <w:rFonts w:hint="default" w:ascii="Times New Roman" w:hAnsi="Times New Roman" w:eastAsia="宋体" w:cs="Times New Roman"/>
                <w:sz w:val="24"/>
              </w:rPr>
              <w:t>）</w:t>
            </w:r>
          </w:p>
          <w:p w14:paraId="4D3A6AC4">
            <w:pPr>
              <w:pStyle w:val="6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• </w:t>
            </w:r>
            <w:r>
              <w:t xml:space="preserve">• </w:t>
            </w:r>
            <w:r>
              <w:rPr>
                <w:rFonts w:hint="eastAsia"/>
              </w:rPr>
              <w:t>BESS：最大充放功率</w:t>
            </w:r>
            <w:r>
              <w:t xml:space="preserve"> </w:t>
            </w:r>
            <m:oMath>
              <m:sSup>
                <m:sSupPr/>
                <m:e>
                  <m:r>
                    <m:rPr/>
                    <m:t>P</m:t>
                  </m:r>
                </m:e>
                <m:sup>
                  <m:r>
                    <m:rPr/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max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>(kW)，SOC</w:t>
            </w:r>
            <w:r>
              <w:t xml:space="preserve"> </w:t>
            </w:r>
            <w:r>
              <w:rPr>
                <w:rFonts w:hint="eastAsia"/>
              </w:rPr>
              <w:t>上下限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/>
                <m:t>SO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min</m:t>
                  </m:r>
                </m:sup>
              </m:sSup>
              <m:r>
                <m:rPr>
                  <m:sty m:val="p"/>
                </m:rPr>
                <m:t>,</m:t>
              </m:r>
              <m:r>
                <m:rPr/>
                <m:t>SO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max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hint="eastAsia"/>
              </w:rPr>
              <w:t>，倍率限制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rate</m:t>
                  </m:r>
                </m:sub>
              </m:sSub>
            </m:oMath>
            <w:bookmarkStart w:id="0" w:name="_GoBack"/>
            <w:bookmarkEnd w:id="0"/>
          </w:p>
        </w:tc>
      </w:tr>
      <w:tr w14:paraId="39E3AEC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0C11DC9">
            <w:pPr>
              <w:pStyle w:val="6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</w:rPr>
            </w:pPr>
            <w:r>
              <w:rPr>
                <w:rStyle w:val="9"/>
                <w:rFonts w:hint="default" w:ascii="Times New Roman" w:hAnsi="Times New Roman" w:eastAsia="宋体" w:cs="Times New Roman"/>
                <w:b w:val="0"/>
                <w:bCs w:val="0"/>
                <w:sz w:val="24"/>
              </w:rPr>
              <w:t>资源 / 负荷</w:t>
            </w:r>
          </w:p>
        </w:tc>
        <w:tc>
          <w:tcPr>
            <w:tcW w:w="69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893EFBB">
            <w:pPr>
              <w:pStyle w:val="6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• 典型日数据风速 </w:t>
            </w:r>
            <m:oMath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v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t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</m:sSub>
            </m:oMath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(m/s)，太阳辐照度 </w:t>
            </w:r>
            <m:oMath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E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t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</m:sSub>
            </m:oMath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(W/m²)，环境温度 </w:t>
            </w:r>
          </w:p>
          <w:p w14:paraId="2E567DD8">
            <w:pPr>
              <w:pStyle w:val="6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• 典型日</w:t>
            </w:r>
            <w:r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  <w:t>居民区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>电负荷序列</w:t>
            </w:r>
          </w:p>
          <w:p w14:paraId="621D7CE2">
            <w:pPr>
              <w:pStyle w:val="6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• 典型日</w:t>
            </w:r>
            <w:r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  <w:t>居民区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>氢气</w:t>
            </w:r>
            <w:r>
              <w:rPr>
                <w:rFonts w:hint="default" w:ascii="Times New Roman" w:hAnsi="Times New Roman" w:eastAsia="宋体" w:cs="Times New Roman"/>
                <w:sz w:val="24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  <w:t>热能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>需求</w:t>
            </w:r>
            <w:r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  <w:t>序列</w:t>
            </w:r>
          </w:p>
        </w:tc>
      </w:tr>
    </w:tbl>
    <w:p w14:paraId="35AFF658">
      <w:pP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</w:p>
    <w:p w14:paraId="1BED21DE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2.2 容量优化传递给能量管理系统</w:t>
      </w:r>
    </w:p>
    <w:tbl>
      <w:tblPr>
        <w:tblStyle w:val="7"/>
        <w:tblW w:w="8522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7"/>
        <w:gridCol w:w="6995"/>
      </w:tblGrid>
      <w:tr w14:paraId="6ECB0F3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5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3A9FD18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Style w:val="9"/>
                <w:rFonts w:hint="default" w:ascii="Times New Roman" w:hAnsi="Times New Roman" w:cs="Times New Roman"/>
                <w:b/>
                <w:bCs/>
              </w:rPr>
              <w:t>指标类别</w:t>
            </w:r>
          </w:p>
        </w:tc>
        <w:tc>
          <w:tcPr>
            <w:tcW w:w="69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1B7312A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Style w:val="9"/>
                <w:rFonts w:hint="default" w:ascii="Times New Roman" w:hAnsi="Times New Roman" w:cs="Times New Roman"/>
                <w:b/>
                <w:bCs/>
              </w:rPr>
              <w:t>传递的具体参数</w:t>
            </w:r>
          </w:p>
        </w:tc>
      </w:tr>
      <w:tr w14:paraId="1A61480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4309A98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Style w:val="9"/>
                <w:rFonts w:hint="default" w:ascii="Times New Roman" w:hAnsi="Times New Roman" w:eastAsia="宋体" w:cs="Times New Roman"/>
                <w:b/>
                <w:bCs/>
                <w:sz w:val="24"/>
              </w:rPr>
              <w:t>容量配置</w:t>
            </w:r>
          </w:p>
        </w:tc>
        <w:tc>
          <w:tcPr>
            <w:tcW w:w="69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3D3F673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• 光伏额定装机容量 (kW)</w:t>
            </w:r>
          </w:p>
          <w:p w14:paraId="520F96A2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• 风力发电额定装机容量 </w:t>
            </w:r>
            <m:oMath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bar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4"/>
                        </w:rPr>
                        <m:t>P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</w:rPr>
                      </m:ctrlPr>
                    </m:e>
                  </m:ba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WT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</m:sSub>
            </m:oMath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(kW)</w:t>
            </w:r>
          </w:p>
          <w:p w14:paraId="0E8130B5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• BESS：额定能量容量 </w:t>
            </w:r>
            <m:oMath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E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B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</m:sSub>
            </m:oMath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(kWh)，额定功率 </w:t>
            </w:r>
            <m:oMath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P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B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,</m:t>
                  </m:r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max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p>
              </m:sSup>
            </m:oMath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(kW)</w:t>
            </w:r>
          </w:p>
          <w:p w14:paraId="4EBA5A59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• CAES：储气罐容积 </w:t>
            </w:r>
            <m:oMath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V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TK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</m:sSub>
            </m:oMath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(m³)，压缩机额定功率 </w:t>
            </w:r>
            <m:oMath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P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com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,</m:t>
                  </m:r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max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p>
              </m:sSup>
            </m:oMath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(kW)，涡轮机额定功率 </w:t>
            </w:r>
            <m:oMath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P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tur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,</m:t>
                  </m:r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max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p>
              </m:sSup>
            </m:oMath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(kW)</w:t>
            </w:r>
          </w:p>
          <w:p w14:paraId="0DA53643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• PEM电解槽额定功率 </w:t>
            </w:r>
            <m:oMath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P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Elz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</w:rPr>
                    <m:t>,</m:t>
                  </m:r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max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p>
              </m:sSup>
            </m:oMath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(kW)</w:t>
            </w:r>
          </w:p>
        </w:tc>
      </w:tr>
      <w:tr w14:paraId="2649265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1D3E85E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Style w:val="9"/>
                <w:rFonts w:hint="default" w:ascii="Times New Roman" w:hAnsi="Times New Roman" w:eastAsia="宋体" w:cs="Times New Roman"/>
                <w:b/>
                <w:bCs/>
                <w:sz w:val="24"/>
              </w:rPr>
              <w:t>经济参数</w:t>
            </w:r>
          </w:p>
        </w:tc>
        <w:tc>
          <w:tcPr>
            <w:tcW w:w="69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30A9BC5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• 各设备固定运维成本的小时分摊值 (元/h)</w:t>
            </w:r>
          </w:p>
          <w:p w14:paraId="2FA8BFE2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• BESS可变运维与老化成本系数 (元/kWh吞吐量)</w:t>
            </w:r>
          </w:p>
          <w:p w14:paraId="07D3CEA6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• CAES启停成本 </w:t>
            </w:r>
            <m:oMath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c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su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</m:sSub>
            </m:oMath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(元/次) 与退化成本系数 </w:t>
            </w:r>
            <m:oMath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c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</w:rPr>
                    <m:t>deg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</w:rPr>
                  </m:ctrlPr>
                </m:sub>
              </m:sSub>
            </m:oMath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(元/kWh)</w:t>
            </w:r>
          </w:p>
          <w:p w14:paraId="00C62183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• 电解槽可变运维与老化成本系数 (元/kWh)</w:t>
            </w:r>
          </w:p>
        </w:tc>
      </w:tr>
      <w:tr w14:paraId="348661D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1C96D05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Style w:val="9"/>
                <w:rFonts w:hint="default" w:ascii="Times New Roman" w:hAnsi="Times New Roman" w:eastAsia="宋体" w:cs="Times New Roman"/>
                <w:b/>
                <w:bCs/>
                <w:sz w:val="24"/>
              </w:rPr>
              <w:t>碳排参数</w:t>
            </w:r>
          </w:p>
        </w:tc>
        <w:tc>
          <w:tcPr>
            <w:tcW w:w="69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B75C5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•</w:t>
            </w:r>
            <w:r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各设备运行碳排因子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</w:rPr>
              <w:t>，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FF0000"/>
                <w:sz w:val="24"/>
              </w:rPr>
              <w:t>需补充模型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>。</w:t>
            </w:r>
          </w:p>
        </w:tc>
      </w:tr>
      <w:tr w14:paraId="112A0F3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E632204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Style w:val="9"/>
                <w:rFonts w:hint="default" w:ascii="Times New Roman" w:hAnsi="Times New Roman" w:eastAsia="宋体" w:cs="Times New Roman"/>
                <w:b/>
                <w:bCs/>
                <w:sz w:val="24"/>
              </w:rPr>
              <w:t>安全 / 约束</w:t>
            </w:r>
          </w:p>
        </w:tc>
        <w:tc>
          <w:tcPr>
            <w:tcW w:w="69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A022DBF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• BESS/CAES的SOC、功率、压力等所有物理边界值</w:t>
            </w:r>
          </w:p>
          <w:p w14:paraId="36C1FA11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• 电解槽、风电、光伏的功率运行范围</w:t>
            </w:r>
          </w:p>
          <w:p w14:paraId="0938602C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• 系统允许的最大功率波动（PFI相关）</w:t>
            </w:r>
          </w:p>
        </w:tc>
      </w:tr>
    </w:tbl>
    <w:p w14:paraId="42BA3549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680DB030">
      <w:p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2.3 能量管理传递给容量优化（四尺度评价指标）</w:t>
      </w:r>
    </w:p>
    <w:tbl>
      <w:tblPr>
        <w:tblStyle w:val="7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94"/>
        <w:gridCol w:w="5342"/>
      </w:tblGrid>
      <w:tr w14:paraId="5043F41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F104E7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9"/>
                <w:rFonts w:hint="default" w:ascii="Times New Roman" w:hAnsi="Times New Roman" w:cs="Times New Roman"/>
                <w:b/>
                <w:bCs/>
              </w:rPr>
              <w:t>指标类别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4CDE417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9"/>
                <w:rFonts w:hint="default" w:ascii="Times New Roman" w:hAnsi="Times New Roman" w:cs="Times New Roman"/>
                <w:b/>
                <w:bCs/>
              </w:rPr>
              <w:t>传递的具体参数</w:t>
            </w:r>
          </w:p>
        </w:tc>
      </w:tr>
      <w:tr w14:paraId="0E9EDB7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1370FD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9"/>
                <w:rFonts w:hint="default" w:ascii="Times New Roman" w:hAnsi="Times New Roman" w:cs="Times New Roman"/>
                <w:b/>
                <w:bCs/>
              </w:rPr>
              <w:t>经济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FC7D62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t xml:space="preserve">• </w:t>
            </w:r>
            <w:r>
              <w:rPr>
                <w:rFonts w:hint="eastAsia"/>
                <w:b/>
                <w:bCs/>
              </w:rPr>
              <w:t>综合成本指数</w:t>
            </w:r>
            <w:r>
              <w:rPr>
                <w:b/>
                <w:bCs/>
              </w:rPr>
              <w:t xml:space="preserve"> (CCI)</w:t>
            </w:r>
            <w:r>
              <w:rPr>
                <w:rFonts w:hint="eastAsia"/>
              </w:rPr>
              <w:t>：包含交易成本（购电、波动罚款、售能收入）与各设备运行成本（BESS/CAES/电解槽退化与启停成本）•</w:t>
            </w:r>
            <w:r>
              <w:t xml:space="preserve"> </w:t>
            </w:r>
            <w:r>
              <w:rPr>
                <w:rFonts w:hint="eastAsia"/>
              </w:rPr>
              <w:t>分项成本：购电成本、波动罚款成本、CAES启停/退化成本、BESS退化成本、电解槽退化成本</w:t>
            </w:r>
          </w:p>
        </w:tc>
      </w:tr>
      <w:tr w14:paraId="4F13A91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459B25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9"/>
                <w:rFonts w:hint="default" w:ascii="Times New Roman" w:hAnsi="Times New Roman" w:cs="Times New Roman"/>
                <w:b/>
                <w:bCs/>
              </w:rPr>
              <w:t>能效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2DB559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/>
              </w:rPr>
            </w:pPr>
            <w:r>
              <w:t xml:space="preserve">• </w:t>
            </w:r>
            <w:r>
              <w:rPr>
                <w:rFonts w:hint="eastAsia"/>
                <w:b/>
                <w:bCs/>
              </w:rPr>
              <w:t>系统响应协同指数</w:t>
            </w:r>
            <w:r>
              <w:rPr>
                <w:b/>
                <w:bCs/>
              </w:rPr>
              <w:t xml:space="preserve"> (SRSI)</w:t>
            </w:r>
            <w:r>
              <w:rPr>
                <w:rFonts w:hint="eastAsia"/>
              </w:rPr>
              <w:t>：反映系统在不同波动幅度下对BESS（小波动）和CAES（大波动）的协同调度效率</w:t>
            </w:r>
          </w:p>
          <w:p w14:paraId="4C3F0F5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eastAsia"/>
              </w:rPr>
              <w:t>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功率波动指数</w:t>
            </w:r>
            <w:r>
              <w:rPr>
                <w:b/>
                <w:bCs/>
              </w:rPr>
              <w:t xml:space="preserve"> (PFI)</w:t>
            </w:r>
            <w:r>
              <w:rPr>
                <w:rFonts w:hint="eastAsia"/>
              </w:rPr>
              <w:t>：反映联络线功率的平滑程度，间接体现系统能效与稳定性</w:t>
            </w:r>
          </w:p>
        </w:tc>
      </w:tr>
      <w:tr w14:paraId="52EA2C5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E2D5C7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9"/>
                <w:rFonts w:hint="default" w:ascii="Times New Roman" w:hAnsi="Times New Roman" w:cs="Times New Roman"/>
                <w:b/>
                <w:bCs/>
              </w:rPr>
              <w:t>碳排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2FC1B9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• </w:t>
            </w:r>
            <w:r>
              <w:rPr>
                <w:rFonts w:hint="eastAsia"/>
                <w:b/>
                <w:bCs/>
              </w:rPr>
              <w:t>模型缺口。建议增设碳排放指数</w:t>
            </w:r>
            <w:r>
              <w:rPr>
                <w:b/>
                <w:bCs/>
              </w:rPr>
              <w:t xml:space="preserve"> (CEI)</w:t>
            </w:r>
            <w:r>
              <w:rPr>
                <w:rFonts w:hint="eastAsia"/>
              </w:rPr>
              <w:t>：基于下层仿真中从主电网的购电量</w:t>
            </w:r>
            <w:r>
              <w:t xml:space="preserve"> </w:t>
            </w:r>
            <m:oMath>
              <m:sSubSup>
                <m:sSubSupPr/>
                <m:e>
                  <m:r>
                    <m:rPr/>
                    <m:t>P</m:t>
                  </m:r>
                </m:e>
                <m:sub>
                  <m:r>
                    <m:rPr/>
                    <m:t>t</m:t>
                  </m:r>
                </m:sub>
                <m:sup>
                  <m:r>
                    <m:rPr/>
                    <m:t>S</m:t>
                  </m:r>
                </m:sup>
              </m:sSubSup>
            </m:oMath>
            <w:r>
              <w:t xml:space="preserve"> </w:t>
            </w:r>
            <w:r>
              <w:rPr>
                <w:rFonts w:hint="eastAsia"/>
              </w:rPr>
              <w:t>和外部输入的电网碳排放因子计算得出。</w:t>
            </w:r>
          </w:p>
        </w:tc>
      </w:tr>
      <w:tr w14:paraId="13F6B1C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F9C891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9"/>
                <w:rFonts w:hint="default" w:ascii="Times New Roman" w:hAnsi="Times New Roman" w:cs="Times New Roman"/>
                <w:b/>
                <w:bCs/>
              </w:rPr>
              <w:t>安全 / 状态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50DBAB6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/>
              </w:rPr>
            </w:pPr>
            <w:r>
              <w:t xml:space="preserve">• </w:t>
            </w:r>
            <w:r>
              <w:rPr>
                <w:rFonts w:hint="eastAsia"/>
                <w:b/>
                <w:bCs/>
              </w:rPr>
              <w:t>安全违背惩罚指数</w:t>
            </w:r>
            <w:r>
              <w:rPr>
                <w:b/>
                <w:bCs/>
              </w:rPr>
              <w:t xml:space="preserve"> (</w:t>
            </w:r>
            <m:oMath>
              <m:r>
                <m:rPr/>
                <m:t>S</m:t>
              </m:r>
              <m:sSub>
                <m:sSubPr/>
                <m:e>
                  <m:r>
                    <m:rPr/>
                    <m:t>I</m:t>
                  </m:r>
                </m:e>
                <m:sub>
                  <m:r>
                    <m:rPr/>
                    <m:t>pen</m:t>
                  </m:r>
                </m:sub>
              </m:sSub>
            </m:oMath>
            <w:r>
              <w:rPr>
                <w:b/>
                <w:bCs/>
              </w:rPr>
              <w:t>)</w:t>
            </w:r>
            <w:r>
              <w:rPr>
                <w:rFonts w:hint="eastAsia"/>
              </w:rPr>
              <w:t>：根据BESS</w:t>
            </w:r>
            <w:r>
              <w:t xml:space="preserve"> </w:t>
            </w:r>
            <w:r>
              <w:rPr>
                <w:rFonts w:hint="eastAsia"/>
              </w:rPr>
              <w:t>SOC、CAES压力/</w:t>
            </w:r>
            <w:r>
              <w:t xml:space="preserve"> </w:t>
            </w:r>
            <w:r>
              <w:rPr>
                <w:rFonts w:hint="eastAsia"/>
              </w:rPr>
              <w:t>SOC、功率平衡等约束的越界情况构造的惩罚项。</w:t>
            </w:r>
          </w:p>
          <w:p w14:paraId="789D09D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•</w:t>
            </w:r>
            <w:r>
              <w:t xml:space="preserve"> </w:t>
            </w:r>
            <w:r>
              <w:rPr>
                <w:rFonts w:hint="eastAsia"/>
              </w:rPr>
              <w:t>SOC/压力越限次数/累计时长</w:t>
            </w:r>
          </w:p>
          <w:p w14:paraId="1612434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</w:rPr>
            </w:pPr>
          </w:p>
        </w:tc>
      </w:tr>
    </w:tbl>
    <w:p w14:paraId="34DBB75E">
      <w:pPr>
        <w:numPr>
          <w:ilvl w:val="0"/>
          <w:numId w:val="0"/>
        </w:numPr>
        <w:rPr>
          <w:rFonts w:hint="default" w:ascii="Times New Roman" w:hAnsi="Times New Roman" w:eastAsia="宋体" w:cs="Times New Roman"/>
          <w:b/>
          <w:bCs/>
          <w:sz w:val="30"/>
          <w:szCs w:val="30"/>
          <w:lang w:val="en-US" w:eastAsia="zh-CN"/>
        </w:rPr>
      </w:pPr>
    </w:p>
    <w:p w14:paraId="1B8242BC">
      <w:pPr>
        <w:numPr>
          <w:ilvl w:val="0"/>
          <w:numId w:val="0"/>
        </w:numPr>
        <w:rPr>
          <w:rFonts w:hint="default" w:ascii="Times New Roman" w:hAnsi="Times New Roman" w:eastAsia="宋体" w:cs="Times New Roman"/>
          <w:b/>
          <w:bCs/>
          <w:sz w:val="30"/>
          <w:szCs w:val="3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30"/>
          <w:szCs w:val="30"/>
          <w:lang w:val="en-US" w:eastAsia="zh-CN"/>
        </w:rPr>
        <w:t>3 设备参数情况</w:t>
      </w:r>
    </w:p>
    <w:p w14:paraId="5460C3DD">
      <w:pPr>
        <w:numPr>
          <w:ilvl w:val="0"/>
          <w:numId w:val="0"/>
        </w:num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3.1 光伏设备</w:t>
      </w:r>
    </w:p>
    <w:tbl>
      <w:tblPr>
        <w:tblStyle w:val="7"/>
        <w:tblW w:w="8509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3"/>
        <w:gridCol w:w="3193"/>
        <w:gridCol w:w="1237"/>
        <w:gridCol w:w="2846"/>
      </w:tblGrid>
      <w:tr w14:paraId="784FC3F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C942CFA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参数类别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38E3397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参数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EC2E253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单位</w:t>
            </w:r>
          </w:p>
        </w:tc>
        <w:tc>
          <w:tcPr>
            <w:tcW w:w="28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3BD021C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说明</w:t>
            </w:r>
          </w:p>
        </w:tc>
      </w:tr>
      <w:tr w14:paraId="1959EA4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8BB15FF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  <w:t>环境输入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4B1AB3B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太阳辐照度 </w:t>
            </w:r>
            <m:oMath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E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t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28D784C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W/m²</w:t>
            </w:r>
          </w:p>
        </w:tc>
        <w:tc>
          <w:tcPr>
            <w:tcW w:w="28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45B14AB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</w:tr>
      <w:tr w14:paraId="6CD6C9C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749435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34B3DDF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组件工作温度 </w:t>
            </w:r>
            <m:oMath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T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PV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E6788CC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°C</w:t>
            </w:r>
          </w:p>
        </w:tc>
        <w:tc>
          <w:tcPr>
            <w:tcW w:w="28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EFB0B27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righ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</w:tr>
      <w:tr w14:paraId="7B1DD76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CA3F00C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  <w:t>设备配置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F08738A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光伏板面积 </w:t>
            </w:r>
            <m:oMath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S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PV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p>
              </m:sSup>
            </m:oMath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04F1733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m²</w:t>
            </w:r>
          </w:p>
        </w:tc>
        <w:tc>
          <w:tcPr>
            <w:tcW w:w="28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1785C78">
            <w:pPr>
              <w:pStyle w:val="10"/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</w:tr>
      <w:tr w14:paraId="4E5A675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A312B5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5EFABC2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转换效率 </w:t>
            </w:r>
            <m:oMath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η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PV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p>
              </m:sSup>
            </m:oMath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E55815E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-</w:t>
            </w:r>
          </w:p>
        </w:tc>
        <w:tc>
          <w:tcPr>
            <w:tcW w:w="28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F212101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标准测试条件下效率</w:t>
            </w:r>
          </w:p>
        </w:tc>
      </w:tr>
      <w:tr w14:paraId="6C4D0FC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4AC8C9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02F0AF1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温度系数 </w:t>
            </w:r>
            <m:oMath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r</m:t>
              </m:r>
            </m:oMath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E2337EA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/°C</w:t>
            </w:r>
          </w:p>
        </w:tc>
        <w:tc>
          <w:tcPr>
            <w:tcW w:w="28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79838CE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功率温度系数，通常为负</w:t>
            </w:r>
          </w:p>
        </w:tc>
      </w:tr>
      <w:tr w14:paraId="7264D6E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E9FB21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CB1A0E8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标准测试条件组件温度 </w:t>
            </w:r>
            <m:oMath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T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SPV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580DFD8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°C</w:t>
            </w:r>
          </w:p>
        </w:tc>
        <w:tc>
          <w:tcPr>
            <w:tcW w:w="28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D1DE171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通常为25°C</w:t>
            </w:r>
          </w:p>
        </w:tc>
      </w:tr>
      <w:tr w14:paraId="04E752C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C31240B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  <w:t>经济参数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B75D59F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单位容量投资成本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647F3FA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元/kW</w:t>
            </w:r>
          </w:p>
        </w:tc>
        <w:tc>
          <w:tcPr>
            <w:tcW w:w="28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B2FCF74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含组件、逆变器、安装</w:t>
            </w:r>
          </w:p>
        </w:tc>
      </w:tr>
      <w:tr w14:paraId="62B6E4D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1DD2A5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C57E09F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固定运维成本比例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9271D59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% /年</w:t>
            </w:r>
          </w:p>
        </w:tc>
        <w:tc>
          <w:tcPr>
            <w:tcW w:w="28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BEFAD64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</w:tr>
      <w:tr w14:paraId="0E7995F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0D84B16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  <w:t>碳排参数</w:t>
            </w:r>
          </w:p>
        </w:tc>
        <w:tc>
          <w:tcPr>
            <w:tcW w:w="31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1DB5C78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全生命周期碳排放因子</w:t>
            </w:r>
          </w:p>
        </w:tc>
        <w:tc>
          <w:tcPr>
            <w:tcW w:w="123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38920BB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kgCO₂/kWh</w:t>
            </w:r>
          </w:p>
        </w:tc>
        <w:tc>
          <w:tcPr>
            <w:tcW w:w="28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F49FF28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需外部补充</w:t>
            </w:r>
          </w:p>
        </w:tc>
      </w:tr>
      <w:tr w14:paraId="1611176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ADEFE63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cs="Times New Roman"/>
                <w:b/>
                <w:bCs/>
              </w:rPr>
              <w:t>输出</w:t>
            </w:r>
          </w:p>
        </w:tc>
        <w:tc>
          <w:tcPr>
            <w:tcW w:w="31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2CD56689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</w:rPr>
              <w:t>实际发电功率</w:t>
            </w:r>
          </w:p>
        </w:tc>
        <w:tc>
          <w:tcPr>
            <w:tcW w:w="123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BB2B1D6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</w:rPr>
              <w:t>kW</w:t>
            </w:r>
          </w:p>
        </w:tc>
        <w:tc>
          <w:tcPr>
            <w:tcW w:w="28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1B71D450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</w:tr>
    </w:tbl>
    <w:p w14:paraId="435D6DB5">
      <w:pPr>
        <w:numPr>
          <w:ilvl w:val="0"/>
          <w:numId w:val="0"/>
        </w:num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11E019CE">
      <w:pPr>
        <w:numPr>
          <w:ilvl w:val="0"/>
          <w:numId w:val="0"/>
        </w:num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3.2 风力发电设备</w:t>
      </w:r>
    </w:p>
    <w:tbl>
      <w:tblPr>
        <w:tblStyle w:val="7"/>
        <w:tblW w:w="8333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6"/>
        <w:gridCol w:w="3146"/>
        <w:gridCol w:w="1504"/>
        <w:gridCol w:w="2217"/>
      </w:tblGrid>
      <w:tr w14:paraId="0C06B42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A9DB5B6">
            <w:pPr>
              <w:pStyle w:val="6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参数类别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6084FB8">
            <w:pPr>
              <w:pStyle w:val="6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参数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F2AC5D2">
            <w:pPr>
              <w:pStyle w:val="6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单位</w:t>
            </w:r>
          </w:p>
        </w:tc>
        <w:tc>
          <w:tcPr>
            <w:tcW w:w="22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C3FF612">
            <w:pPr>
              <w:pStyle w:val="6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说明</w:t>
            </w:r>
          </w:p>
        </w:tc>
      </w:tr>
      <w:tr w14:paraId="7FD2F0C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D03CD04">
            <w:pPr>
              <w:pStyle w:val="10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  <w:t>环境输入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BDA49F1">
            <w:pPr>
              <w:pStyle w:val="10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风速 </w:t>
            </w:r>
            <m:oMath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v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t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1733CE1">
            <w:pPr>
              <w:pStyle w:val="10"/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m/s</w:t>
            </w:r>
          </w:p>
        </w:tc>
        <w:tc>
          <w:tcPr>
            <w:tcW w:w="22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5BF0960">
            <w:pPr>
              <w:pStyle w:val="10"/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轮毂高度处风速</w:t>
            </w:r>
          </w:p>
        </w:tc>
      </w:tr>
      <w:tr w14:paraId="72BC3ED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1D97875">
            <w:pPr>
              <w:pStyle w:val="10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  <w:t>设备配置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B349B07">
            <w:pPr>
              <w:pStyle w:val="10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额定功率 </w:t>
            </w:r>
            <m:oMath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4"/>
                          <w:szCs w:val="24"/>
                        </w:rPr>
                        <m:t>P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e>
                  </m:ba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WT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6F28FDA">
            <w:pPr>
              <w:pStyle w:val="10"/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kW</w:t>
            </w:r>
          </w:p>
        </w:tc>
        <w:tc>
          <w:tcPr>
            <w:tcW w:w="22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E765517">
            <w:pPr>
              <w:pStyle w:val="10"/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</w:tr>
      <w:tr w14:paraId="0403C27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A8D775A">
            <w:pPr>
              <w:pStyle w:val="10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C0BF1F9">
            <w:pPr>
              <w:pStyle w:val="10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切入风速 </w:t>
            </w:r>
            <m:oMath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v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in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A9F7916">
            <w:pPr>
              <w:pStyle w:val="10"/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m/s</w:t>
            </w:r>
          </w:p>
        </w:tc>
        <w:tc>
          <w:tcPr>
            <w:tcW w:w="22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C0E22BC">
            <w:pPr>
              <w:pStyle w:val="10"/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</w:tr>
      <w:tr w14:paraId="7EBB99A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E50B1D5">
            <w:pPr>
              <w:pStyle w:val="10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8C43D53">
            <w:pPr>
              <w:pStyle w:val="10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额定风速 </w:t>
            </w:r>
            <m:oMath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v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r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844C734">
            <w:pPr>
              <w:pStyle w:val="10"/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m/s</w:t>
            </w:r>
          </w:p>
        </w:tc>
        <w:tc>
          <w:tcPr>
            <w:tcW w:w="22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262D192">
            <w:pPr>
              <w:pStyle w:val="10"/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</w:tr>
      <w:tr w14:paraId="5D18B4F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7043D4B">
            <w:pPr>
              <w:pStyle w:val="10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19D6F97">
            <w:pPr>
              <w:pStyle w:val="10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切出风速 </w:t>
            </w:r>
            <m:oMath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v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off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970444F">
            <w:pPr>
              <w:pStyle w:val="10"/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m/s</w:t>
            </w:r>
          </w:p>
        </w:tc>
        <w:tc>
          <w:tcPr>
            <w:tcW w:w="22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1447BFC">
            <w:pPr>
              <w:pStyle w:val="10"/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</w:tr>
      <w:tr w14:paraId="0A92E20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7763F05">
            <w:pPr>
              <w:pStyle w:val="10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  <w:t>经济参数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FF86C5B">
            <w:pPr>
              <w:pStyle w:val="10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单位容量投资成本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632FC37">
            <w:pPr>
              <w:pStyle w:val="10"/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元/kW</w:t>
            </w:r>
          </w:p>
        </w:tc>
        <w:tc>
          <w:tcPr>
            <w:tcW w:w="22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ABBD737">
            <w:pPr>
              <w:pStyle w:val="10"/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</w:tr>
      <w:tr w14:paraId="59B85F7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0B37170">
            <w:pPr>
              <w:pStyle w:val="10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86EA5C4">
            <w:pPr>
              <w:pStyle w:val="10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固定运维成本比例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50A2B52">
            <w:pPr>
              <w:pStyle w:val="10"/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%/年</w:t>
            </w:r>
          </w:p>
        </w:tc>
        <w:tc>
          <w:tcPr>
            <w:tcW w:w="22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D3D6729">
            <w:pPr>
              <w:pStyle w:val="10"/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</w:tr>
      <w:tr w14:paraId="265FEA5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088B1A2">
            <w:pPr>
              <w:pStyle w:val="10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  <w:t>碳排参数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80C8C5B">
            <w:pPr>
              <w:pStyle w:val="10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全生命周期碳排放因子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D9094D2">
            <w:pPr>
              <w:pStyle w:val="10"/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kgCO₂/kWh</w:t>
            </w:r>
          </w:p>
        </w:tc>
        <w:tc>
          <w:tcPr>
            <w:tcW w:w="22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B565D0A">
            <w:pPr>
              <w:pStyle w:val="10"/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需外部补充</w:t>
            </w:r>
          </w:p>
        </w:tc>
      </w:tr>
      <w:tr w14:paraId="4C294C5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854209D">
            <w:pPr>
              <w:pStyle w:val="10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  <w:t>输出</w:t>
            </w:r>
          </w:p>
        </w:tc>
        <w:tc>
          <w:tcPr>
            <w:tcW w:w="31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3E95ECE">
            <w:pPr>
              <w:pStyle w:val="10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实际发电功率 </w:t>
            </w:r>
            <m:oMath>
              <m:sSubSup>
                <m:sSubSup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P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t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b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WT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p>
              </m:sSubSup>
            </m:oMath>
          </w:p>
        </w:tc>
        <w:tc>
          <w:tcPr>
            <w:tcW w:w="15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B483418">
            <w:pPr>
              <w:pStyle w:val="10"/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kW</w:t>
            </w:r>
          </w:p>
        </w:tc>
        <w:tc>
          <w:tcPr>
            <w:tcW w:w="22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2984DE9">
            <w:pPr>
              <w:pStyle w:val="10"/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</w:tr>
    </w:tbl>
    <w:p w14:paraId="5F8886E1">
      <w:pPr>
        <w:rPr>
          <w:rFonts w:hint="default" w:ascii="Times New Roman" w:hAnsi="Times New Roman" w:cs="Times New Roman"/>
          <w:lang w:val="en-US" w:eastAsia="zh-CN"/>
        </w:rPr>
      </w:pPr>
    </w:p>
    <w:p w14:paraId="77798FE7">
      <w:pPr>
        <w:numPr>
          <w:ilvl w:val="0"/>
          <w:numId w:val="0"/>
        </w:num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3.3 PEM电解槽</w:t>
      </w:r>
    </w:p>
    <w:tbl>
      <w:tblPr>
        <w:tblStyle w:val="11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0"/>
        <w:gridCol w:w="3304"/>
        <w:gridCol w:w="1395"/>
        <w:gridCol w:w="2553"/>
      </w:tblGrid>
      <w:tr w14:paraId="67933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78" w:type="dxa"/>
            <w:vAlign w:val="center"/>
          </w:tcPr>
          <w:p w14:paraId="4DAC6128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参数类别</w:t>
            </w:r>
          </w:p>
        </w:tc>
        <w:tc>
          <w:tcPr>
            <w:tcW w:w="3327" w:type="dxa"/>
            <w:vAlign w:val="center"/>
          </w:tcPr>
          <w:p w14:paraId="4B6A6D03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参数</w:t>
            </w:r>
          </w:p>
        </w:tc>
        <w:tc>
          <w:tcPr>
            <w:tcW w:w="1351" w:type="dxa"/>
            <w:vAlign w:val="center"/>
          </w:tcPr>
          <w:p w14:paraId="3973C3F9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单位</w:t>
            </w:r>
          </w:p>
        </w:tc>
        <w:tc>
          <w:tcPr>
            <w:tcW w:w="2566" w:type="dxa"/>
            <w:vAlign w:val="center"/>
          </w:tcPr>
          <w:p w14:paraId="044D719E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说明</w:t>
            </w:r>
          </w:p>
        </w:tc>
      </w:tr>
      <w:tr w14:paraId="0DF16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8" w:type="dxa"/>
            <w:vAlign w:val="center"/>
          </w:tcPr>
          <w:p w14:paraId="7740CF01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设备配置</w:t>
            </w:r>
          </w:p>
        </w:tc>
        <w:tc>
          <w:tcPr>
            <w:tcW w:w="3327" w:type="dxa"/>
            <w:vAlign w:val="center"/>
          </w:tcPr>
          <w:p w14:paraId="66467558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最大功率 </w:t>
            </w:r>
            <m:oMath>
              <m:sSup>
                <m:sSupP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Elz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szCs w:val="24"/>
                    </w:rPr>
                    <m:t>,</m:t>
                  </m:r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max</m:t>
                  </m: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sup>
              </m:sSup>
            </m:oMath>
          </w:p>
        </w:tc>
        <w:tc>
          <w:tcPr>
            <w:tcW w:w="1351" w:type="dxa"/>
            <w:vAlign w:val="center"/>
          </w:tcPr>
          <w:p w14:paraId="46883CF9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kW</w:t>
            </w:r>
          </w:p>
        </w:tc>
        <w:tc>
          <w:tcPr>
            <w:tcW w:w="2566" w:type="dxa"/>
            <w:vAlign w:val="center"/>
          </w:tcPr>
          <w:p w14:paraId="61DCACAD">
            <w:pPr>
              <w:pStyle w:val="10"/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上层优化变量</w:t>
            </w:r>
          </w:p>
        </w:tc>
      </w:tr>
      <w:tr w14:paraId="6E29B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8" w:type="dxa"/>
            <w:vAlign w:val="center"/>
          </w:tcPr>
          <w:p w14:paraId="18D3CAF0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7" w:type="dxa"/>
            <w:vAlign w:val="center"/>
          </w:tcPr>
          <w:p w14:paraId="7BDEA97D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最小功率 </w:t>
            </w:r>
            <m:oMath>
              <m:sSup>
                <m:sSupP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Elz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szCs w:val="24"/>
                    </w:rPr>
                    <m:t>,</m:t>
                  </m:r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min</m:t>
                  </m: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sup>
              </m:sSup>
            </m:oMath>
          </w:p>
        </w:tc>
        <w:tc>
          <w:tcPr>
            <w:tcW w:w="1351" w:type="dxa"/>
            <w:vAlign w:val="center"/>
          </w:tcPr>
          <w:p w14:paraId="3EC49481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kW</w:t>
            </w:r>
          </w:p>
        </w:tc>
        <w:tc>
          <w:tcPr>
            <w:tcW w:w="2566" w:type="dxa"/>
            <w:vAlign w:val="center"/>
          </w:tcPr>
          <w:p w14:paraId="443CD919">
            <w:pPr>
              <w:pStyle w:val="10"/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46A67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8" w:type="dxa"/>
            <w:vAlign w:val="center"/>
          </w:tcPr>
          <w:p w14:paraId="6E423BFF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7" w:type="dxa"/>
            <w:vAlign w:val="center"/>
          </w:tcPr>
          <w:p w14:paraId="36ED32C5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制氢效率 </w:t>
            </w:r>
            <m:oMath>
              <m:sSup>
                <m:sSupP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η</m:t>
                  </m: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Elz</m:t>
                  </m: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sup>
              </m:sSup>
            </m:oMath>
          </w:p>
        </w:tc>
        <w:tc>
          <w:tcPr>
            <w:tcW w:w="1351" w:type="dxa"/>
            <w:vAlign w:val="center"/>
          </w:tcPr>
          <w:p w14:paraId="2BDEFAA5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566" w:type="dxa"/>
            <w:vAlign w:val="center"/>
          </w:tcPr>
          <w:p w14:paraId="4CBC094A">
            <w:pPr>
              <w:pStyle w:val="10"/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36FD4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8" w:type="dxa"/>
            <w:vAlign w:val="center"/>
          </w:tcPr>
          <w:p w14:paraId="2DFE0CBA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7" w:type="dxa"/>
            <w:vAlign w:val="center"/>
          </w:tcPr>
          <w:p w14:paraId="59BB4D6A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氢气低热值 </w:t>
            </w: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4"/>
                  <w:szCs w:val="24"/>
                </w:rPr>
                <m:t>LH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V</m:t>
                  </m: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e>
                <m:sub>
                  <m:sSub>
                    <m:sSubPr>
                      <m:ctrlPr>
                        <w:rPr>
                          <w:rFonts w:hint="default"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  <w:sz w:val="24"/>
                          <w:szCs w:val="24"/>
                        </w:rPr>
                        <m:t>H</m:t>
                      </m:r>
                      <m:ctrlPr>
                        <w:rPr>
                          <w:rFonts w:hint="default" w:ascii="Cambria Math" w:hAnsi="Cambria Math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b w:val="0"/>
                          <w:i w:val="0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1351" w:type="dxa"/>
            <w:vAlign w:val="center"/>
          </w:tcPr>
          <w:p w14:paraId="7B53DF67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kJ/mol</w:t>
            </w:r>
          </w:p>
        </w:tc>
        <w:tc>
          <w:tcPr>
            <w:tcW w:w="2566" w:type="dxa"/>
            <w:vAlign w:val="center"/>
          </w:tcPr>
          <w:p w14:paraId="4F490883">
            <w:pPr>
              <w:pStyle w:val="10"/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常数，约286 kJ/mol</w:t>
            </w:r>
          </w:p>
        </w:tc>
      </w:tr>
      <w:tr w14:paraId="6E037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8" w:type="dxa"/>
            <w:vAlign w:val="center"/>
          </w:tcPr>
          <w:p w14:paraId="11D5AB0C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7" w:type="dxa"/>
            <w:vAlign w:val="center"/>
          </w:tcPr>
          <w:p w14:paraId="0F1E51E9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氢气摩尔质量 </w:t>
            </w:r>
            <m:oMath>
              <m:sSub>
                <m:sSubP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M</m:t>
                  </m: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e>
                <m:sub>
                  <m:sSub>
                    <m:sSubPr>
                      <m:ctrlPr>
                        <w:rPr>
                          <w:rFonts w:hint="default"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  <w:sz w:val="24"/>
                          <w:szCs w:val="24"/>
                        </w:rPr>
                        <m:t>H</m:t>
                      </m:r>
                      <m:ctrlPr>
                        <w:rPr>
                          <w:rFonts w:hint="default" w:ascii="Cambria Math" w:hAnsi="Cambria Math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b w:val="0"/>
                          <w:i w:val="0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1351" w:type="dxa"/>
            <w:vAlign w:val="center"/>
          </w:tcPr>
          <w:p w14:paraId="065389ED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kg/mol</w:t>
            </w:r>
          </w:p>
        </w:tc>
        <w:tc>
          <w:tcPr>
            <w:tcW w:w="2566" w:type="dxa"/>
            <w:vAlign w:val="center"/>
          </w:tcPr>
          <w:p w14:paraId="69F41F81">
            <w:pPr>
              <w:pStyle w:val="10"/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常数，0.002016 kg/mol</w:t>
            </w:r>
          </w:p>
        </w:tc>
      </w:tr>
      <w:tr w14:paraId="7096F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8" w:type="dxa"/>
            <w:vAlign w:val="center"/>
          </w:tcPr>
          <w:p w14:paraId="250132C8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经济参数</w:t>
            </w:r>
          </w:p>
        </w:tc>
        <w:tc>
          <w:tcPr>
            <w:tcW w:w="3327" w:type="dxa"/>
            <w:vAlign w:val="center"/>
          </w:tcPr>
          <w:p w14:paraId="680C3131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单位容量投资成本</w:t>
            </w:r>
          </w:p>
        </w:tc>
        <w:tc>
          <w:tcPr>
            <w:tcW w:w="1351" w:type="dxa"/>
            <w:vAlign w:val="center"/>
          </w:tcPr>
          <w:p w14:paraId="366978E7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元/kW</w:t>
            </w:r>
          </w:p>
        </w:tc>
        <w:tc>
          <w:tcPr>
            <w:tcW w:w="2566" w:type="dxa"/>
            <w:vAlign w:val="center"/>
          </w:tcPr>
          <w:p w14:paraId="6EF4F5DB">
            <w:pPr>
              <w:pStyle w:val="10"/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C43D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8" w:type="dxa"/>
            <w:vAlign w:val="center"/>
          </w:tcPr>
          <w:p w14:paraId="3EE5A2DA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7" w:type="dxa"/>
            <w:vAlign w:val="center"/>
          </w:tcPr>
          <w:p w14:paraId="78BBD27D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可变运维与老化成本系数 </w:t>
            </w:r>
            <m:oMath>
              <m:sSup>
                <m:sSupP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D</m:t>
                  </m: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Elz</m:t>
                  </m: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sup>
              </m:sSup>
            </m:oMath>
          </w:p>
        </w:tc>
        <w:tc>
          <w:tcPr>
            <w:tcW w:w="1351" w:type="dxa"/>
            <w:vAlign w:val="center"/>
          </w:tcPr>
          <w:p w14:paraId="6AD5D663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元/kWh</w:t>
            </w:r>
          </w:p>
        </w:tc>
        <w:tc>
          <w:tcPr>
            <w:tcW w:w="2566" w:type="dxa"/>
            <w:vAlign w:val="center"/>
          </w:tcPr>
          <w:p w14:paraId="3F2A4CD7">
            <w:pPr>
              <w:pStyle w:val="10"/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61D0F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8" w:type="dxa"/>
            <w:vAlign w:val="center"/>
          </w:tcPr>
          <w:p w14:paraId="49A73010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碳排参数</w:t>
            </w:r>
          </w:p>
        </w:tc>
        <w:tc>
          <w:tcPr>
            <w:tcW w:w="3327" w:type="dxa"/>
            <w:vAlign w:val="center"/>
          </w:tcPr>
          <w:p w14:paraId="2E89694E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设备全生命周期碳排放因子</w:t>
            </w:r>
          </w:p>
        </w:tc>
        <w:tc>
          <w:tcPr>
            <w:tcW w:w="1351" w:type="dxa"/>
            <w:vAlign w:val="center"/>
          </w:tcPr>
          <w:p w14:paraId="1994AD6F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kgCO₂/kWh</w:t>
            </w:r>
          </w:p>
        </w:tc>
        <w:tc>
          <w:tcPr>
            <w:tcW w:w="2566" w:type="dxa"/>
            <w:vAlign w:val="center"/>
          </w:tcPr>
          <w:p w14:paraId="6F08A1E6">
            <w:pPr>
              <w:pStyle w:val="10"/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需外部补充</w:t>
            </w:r>
          </w:p>
        </w:tc>
      </w:tr>
      <w:tr w14:paraId="30118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8" w:type="dxa"/>
            <w:vAlign w:val="center"/>
          </w:tcPr>
          <w:p w14:paraId="7D488571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控制输入</w:t>
            </w:r>
          </w:p>
        </w:tc>
        <w:tc>
          <w:tcPr>
            <w:tcW w:w="3327" w:type="dxa"/>
            <w:vAlign w:val="center"/>
          </w:tcPr>
          <w:p w14:paraId="1CD4CDFC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调度电功率 </w:t>
            </w:r>
            <m:oMath>
              <m:sSubSup>
                <m:sSubSupP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sub>
                <m:sup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Elz</m:t>
                  </m: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sup>
              </m:sSubSup>
            </m:oMath>
          </w:p>
        </w:tc>
        <w:tc>
          <w:tcPr>
            <w:tcW w:w="1351" w:type="dxa"/>
            <w:vAlign w:val="center"/>
          </w:tcPr>
          <w:p w14:paraId="01DB8B89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kW</w:t>
            </w:r>
          </w:p>
        </w:tc>
        <w:tc>
          <w:tcPr>
            <w:tcW w:w="2566" w:type="dxa"/>
            <w:vAlign w:val="center"/>
          </w:tcPr>
          <w:p w14:paraId="3847D056">
            <w:pPr>
              <w:pStyle w:val="10"/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EMS给定的运行功率</w:t>
            </w:r>
          </w:p>
        </w:tc>
      </w:tr>
      <w:tr w14:paraId="06B88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78" w:type="dxa"/>
            <w:vAlign w:val="center"/>
          </w:tcPr>
          <w:p w14:paraId="6C8DEB68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输出</w:t>
            </w:r>
          </w:p>
        </w:tc>
        <w:tc>
          <w:tcPr>
            <w:tcW w:w="3327" w:type="dxa"/>
            <w:vAlign w:val="center"/>
          </w:tcPr>
          <w:p w14:paraId="682C2D4F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氢气产量 </w:t>
            </w:r>
            <m:oMath>
              <m:sSubSup>
                <m:sSubSupP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n</m:t>
                  </m: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sub>
                <m:sup>
                  <m:sSub>
                    <m:sSubPr>
                      <m:ctrlPr>
                        <w:rPr>
                          <w:rFonts w:hint="default"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  <w:sz w:val="24"/>
                          <w:szCs w:val="24"/>
                        </w:rPr>
                        <m:t>H</m:t>
                      </m:r>
                      <m:ctrlPr>
                        <w:rPr>
                          <w:rFonts w:hint="default" w:ascii="Cambria Math" w:hAnsi="Cambria Math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b w:val="0"/>
                          <w:i w:val="0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sup>
              </m:sSubSup>
            </m:oMath>
          </w:p>
        </w:tc>
        <w:tc>
          <w:tcPr>
            <w:tcW w:w="1351" w:type="dxa"/>
            <w:vAlign w:val="center"/>
          </w:tcPr>
          <w:p w14:paraId="7472CD47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2566" w:type="dxa"/>
            <w:vAlign w:val="center"/>
          </w:tcPr>
          <w:p w14:paraId="4F12E881">
            <w:pPr>
              <w:pStyle w:val="10"/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计算详见原文式(4)</w:t>
            </w:r>
          </w:p>
        </w:tc>
      </w:tr>
    </w:tbl>
    <w:p w14:paraId="4438B0C0">
      <w:pPr>
        <w:numPr>
          <w:ilvl w:val="0"/>
          <w:numId w:val="0"/>
        </w:num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61C6DE6A">
      <w:pPr>
        <w:numPr>
          <w:ilvl w:val="0"/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3.4 BESS</w:t>
      </w:r>
    </w:p>
    <w:tbl>
      <w:tblPr>
        <w:tblStyle w:val="11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7"/>
        <w:gridCol w:w="3220"/>
        <w:gridCol w:w="1572"/>
        <w:gridCol w:w="2233"/>
      </w:tblGrid>
      <w:tr w14:paraId="5E72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97" w:type="dxa"/>
            <w:vAlign w:val="center"/>
          </w:tcPr>
          <w:p w14:paraId="65EF82A2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参数类别</w:t>
            </w:r>
          </w:p>
        </w:tc>
        <w:tc>
          <w:tcPr>
            <w:tcW w:w="3220" w:type="dxa"/>
            <w:vAlign w:val="center"/>
          </w:tcPr>
          <w:p w14:paraId="12A93A51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参数</w:t>
            </w:r>
          </w:p>
        </w:tc>
        <w:tc>
          <w:tcPr>
            <w:tcW w:w="0" w:type="auto"/>
            <w:vAlign w:val="center"/>
          </w:tcPr>
          <w:p w14:paraId="29538358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单位</w:t>
            </w:r>
          </w:p>
        </w:tc>
        <w:tc>
          <w:tcPr>
            <w:tcW w:w="2233" w:type="dxa"/>
            <w:vAlign w:val="center"/>
          </w:tcPr>
          <w:p w14:paraId="37923759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说明</w:t>
            </w:r>
          </w:p>
        </w:tc>
      </w:tr>
      <w:tr w14:paraId="366C6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7" w:type="dxa"/>
            <w:vAlign w:val="center"/>
          </w:tcPr>
          <w:p w14:paraId="15E3F0C0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设备配置</w:t>
            </w:r>
          </w:p>
        </w:tc>
        <w:tc>
          <w:tcPr>
            <w:tcW w:w="3220" w:type="dxa"/>
            <w:vAlign w:val="center"/>
          </w:tcPr>
          <w:p w14:paraId="210FB1BD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额定功率 </w:t>
            </w:r>
            <m:oMath>
              <m:sSup>
                <m:sSupP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B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szCs w:val="24"/>
                    </w:rPr>
                    <m:t>,</m:t>
                  </m:r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max</m:t>
                  </m: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sup>
              </m:sSup>
            </m:oMath>
          </w:p>
        </w:tc>
        <w:tc>
          <w:tcPr>
            <w:tcW w:w="0" w:type="auto"/>
            <w:vAlign w:val="center"/>
          </w:tcPr>
          <w:p w14:paraId="5D89E0F5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kW</w:t>
            </w:r>
          </w:p>
        </w:tc>
        <w:tc>
          <w:tcPr>
            <w:tcW w:w="2233" w:type="dxa"/>
            <w:vAlign w:val="center"/>
          </w:tcPr>
          <w:p w14:paraId="7D1698BC">
            <w:pPr>
              <w:pStyle w:val="10"/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60E45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7" w:type="dxa"/>
            <w:vAlign w:val="center"/>
          </w:tcPr>
          <w:p w14:paraId="486F46F2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0" w:type="dxa"/>
            <w:vAlign w:val="center"/>
          </w:tcPr>
          <w:p w14:paraId="5F6E02DA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额定容量 </w:t>
            </w:r>
            <m:oMath>
              <m:sSub>
                <m:sSubP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E</m:t>
                  </m: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0" w:type="auto"/>
            <w:vAlign w:val="center"/>
          </w:tcPr>
          <w:p w14:paraId="236A10F9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kWh</w:t>
            </w:r>
          </w:p>
        </w:tc>
        <w:tc>
          <w:tcPr>
            <w:tcW w:w="2233" w:type="dxa"/>
            <w:vAlign w:val="center"/>
          </w:tcPr>
          <w:p w14:paraId="0F69C669">
            <w:pPr>
              <w:pStyle w:val="10"/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35894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7" w:type="dxa"/>
            <w:vAlign w:val="center"/>
          </w:tcPr>
          <w:p w14:paraId="5CD50A52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0" w:type="dxa"/>
            <w:vAlign w:val="center"/>
          </w:tcPr>
          <w:p w14:paraId="30BAC914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充电效率 </w:t>
            </w:r>
            <m:oMath>
              <m:sSubSup>
                <m:sSubSupP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η</m:t>
                  </m: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sub>
                <m:sup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c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szCs w:val="24"/>
                    </w:rPr>
                    <m:t>h</m:t>
                  </m: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sup>
              </m:sSubSup>
            </m:oMath>
          </w:p>
        </w:tc>
        <w:tc>
          <w:tcPr>
            <w:tcW w:w="0" w:type="auto"/>
            <w:vAlign w:val="center"/>
          </w:tcPr>
          <w:p w14:paraId="21B9C956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33" w:type="dxa"/>
            <w:vAlign w:val="center"/>
          </w:tcPr>
          <w:p w14:paraId="5DE26712">
            <w:pPr>
              <w:pStyle w:val="10"/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6C3E7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7" w:type="dxa"/>
            <w:vAlign w:val="center"/>
          </w:tcPr>
          <w:p w14:paraId="16DB90CA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0" w:type="dxa"/>
            <w:vAlign w:val="center"/>
          </w:tcPr>
          <w:p w14:paraId="35CDDABF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放电效率 </w:t>
            </w:r>
            <m:oMath>
              <m:sSubSup>
                <m:sSubSupP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η</m:t>
                  </m: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sub>
                <m:sup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dis</m:t>
                  </m: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sup>
              </m:sSubSup>
            </m:oMath>
          </w:p>
        </w:tc>
        <w:tc>
          <w:tcPr>
            <w:tcW w:w="0" w:type="auto"/>
            <w:vAlign w:val="center"/>
          </w:tcPr>
          <w:p w14:paraId="78A370F1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33" w:type="dxa"/>
            <w:vAlign w:val="center"/>
          </w:tcPr>
          <w:p w14:paraId="0F09F2B2">
            <w:pPr>
              <w:pStyle w:val="10"/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6F97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7" w:type="dxa"/>
            <w:vAlign w:val="center"/>
          </w:tcPr>
          <w:p w14:paraId="413F470F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0" w:type="dxa"/>
            <w:vAlign w:val="center"/>
          </w:tcPr>
          <w:p w14:paraId="2F17B493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SOC允许范围 </w:t>
            </w:r>
            <m:oMath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szCs w:val="24"/>
                </w:rPr>
                <m:t>[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4"/>
                  <w:szCs w:val="24"/>
                </w:rPr>
                <m:t>SO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C</m:t>
                  </m: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B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szCs w:val="24"/>
                    </w:rPr>
                    <m:t>,</m:t>
                  </m:r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min</m:t>
                  </m: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szCs w:val="24"/>
                </w:rPr>
                <m:t>,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4"/>
                  <w:szCs w:val="24"/>
                </w:rPr>
                <m:t>SO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C</m:t>
                  </m: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B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4"/>
                      <w:szCs w:val="24"/>
                    </w:rPr>
                    <m:t>,</m:t>
                  </m:r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max</m:t>
                  </m: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szCs w:val="24"/>
                </w:rPr>
                <m:t>]</m:t>
              </m:r>
            </m:oMath>
          </w:p>
        </w:tc>
        <w:tc>
          <w:tcPr>
            <w:tcW w:w="0" w:type="auto"/>
            <w:vAlign w:val="center"/>
          </w:tcPr>
          <w:p w14:paraId="5CCC9A06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33" w:type="dxa"/>
            <w:vAlign w:val="center"/>
          </w:tcPr>
          <w:p w14:paraId="4AA3878E">
            <w:pPr>
              <w:pStyle w:val="10"/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3B299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7" w:type="dxa"/>
            <w:vAlign w:val="center"/>
          </w:tcPr>
          <w:p w14:paraId="3A89213A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0" w:type="dxa"/>
            <w:vAlign w:val="center"/>
          </w:tcPr>
          <w:p w14:paraId="180D2135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倍率限制 </w:t>
            </w:r>
            <m:oMath>
              <m:sSub>
                <m:sSubP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C</m:t>
                  </m: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rate</m:t>
                  </m: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0" w:type="auto"/>
            <w:vAlign w:val="center"/>
          </w:tcPr>
          <w:p w14:paraId="5F37E1EF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33" w:type="dxa"/>
            <w:vAlign w:val="center"/>
          </w:tcPr>
          <w:p w14:paraId="2F7918C1">
            <w:pPr>
              <w:pStyle w:val="10"/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功率与容量比值上限</w:t>
            </w:r>
          </w:p>
        </w:tc>
      </w:tr>
      <w:tr w14:paraId="49D19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7" w:type="dxa"/>
            <w:vAlign w:val="center"/>
          </w:tcPr>
          <w:p w14:paraId="5CEDEDB9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经济参数</w:t>
            </w:r>
          </w:p>
        </w:tc>
        <w:tc>
          <w:tcPr>
            <w:tcW w:w="3220" w:type="dxa"/>
            <w:vAlign w:val="center"/>
          </w:tcPr>
          <w:p w14:paraId="2F3CCC60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容量单价</w:t>
            </w:r>
          </w:p>
        </w:tc>
        <w:tc>
          <w:tcPr>
            <w:tcW w:w="0" w:type="auto"/>
            <w:vAlign w:val="center"/>
          </w:tcPr>
          <w:p w14:paraId="02FA3272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元/kWh</w:t>
            </w:r>
          </w:p>
        </w:tc>
        <w:tc>
          <w:tcPr>
            <w:tcW w:w="2233" w:type="dxa"/>
            <w:vAlign w:val="center"/>
          </w:tcPr>
          <w:p w14:paraId="1743B334">
            <w:pPr>
              <w:pStyle w:val="10"/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682BA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7" w:type="dxa"/>
            <w:vAlign w:val="center"/>
          </w:tcPr>
          <w:p w14:paraId="6A936774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0" w:type="dxa"/>
            <w:vAlign w:val="center"/>
          </w:tcPr>
          <w:p w14:paraId="75D3266E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功率单价（PCS）</w:t>
            </w:r>
          </w:p>
        </w:tc>
        <w:tc>
          <w:tcPr>
            <w:tcW w:w="0" w:type="auto"/>
            <w:vAlign w:val="center"/>
          </w:tcPr>
          <w:p w14:paraId="678158ED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元/kW</w:t>
            </w:r>
          </w:p>
        </w:tc>
        <w:tc>
          <w:tcPr>
            <w:tcW w:w="2233" w:type="dxa"/>
            <w:vAlign w:val="center"/>
          </w:tcPr>
          <w:p w14:paraId="102894CF">
            <w:pPr>
              <w:pStyle w:val="10"/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6008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7" w:type="dxa"/>
            <w:vAlign w:val="center"/>
          </w:tcPr>
          <w:p w14:paraId="7EAF774C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0" w:type="dxa"/>
            <w:vAlign w:val="center"/>
          </w:tcPr>
          <w:p w14:paraId="4A56C01A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固定运维成本比例</w:t>
            </w:r>
          </w:p>
        </w:tc>
        <w:tc>
          <w:tcPr>
            <w:tcW w:w="0" w:type="auto"/>
            <w:vAlign w:val="center"/>
          </w:tcPr>
          <w:p w14:paraId="6921FF71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%/年</w:t>
            </w:r>
          </w:p>
        </w:tc>
        <w:tc>
          <w:tcPr>
            <w:tcW w:w="2233" w:type="dxa"/>
            <w:vAlign w:val="center"/>
          </w:tcPr>
          <w:p w14:paraId="38E7E42D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785E5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7" w:type="dxa"/>
            <w:vAlign w:val="center"/>
          </w:tcPr>
          <w:p w14:paraId="70FD1B2E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0" w:type="dxa"/>
            <w:vAlign w:val="center"/>
          </w:tcPr>
          <w:p w14:paraId="6A7B9D9E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循环老化成本系数 </w:t>
            </w:r>
            <m:oMath>
              <m:sSup>
                <m:sSupP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D</m:t>
                  </m: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bess</m:t>
                  </m: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sup>
              </m:sSup>
            </m:oMath>
          </w:p>
        </w:tc>
        <w:tc>
          <w:tcPr>
            <w:tcW w:w="0" w:type="auto"/>
            <w:vAlign w:val="center"/>
          </w:tcPr>
          <w:p w14:paraId="5E8B5ABE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元/kWh吞吐量</w:t>
            </w:r>
          </w:p>
        </w:tc>
        <w:tc>
          <w:tcPr>
            <w:tcW w:w="2233" w:type="dxa"/>
            <w:vAlign w:val="center"/>
          </w:tcPr>
          <w:p w14:paraId="2598E6E2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119C5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7" w:type="dxa"/>
            <w:vAlign w:val="center"/>
          </w:tcPr>
          <w:p w14:paraId="3FB2521D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碳排参数</w:t>
            </w:r>
          </w:p>
        </w:tc>
        <w:tc>
          <w:tcPr>
            <w:tcW w:w="3220" w:type="dxa"/>
            <w:vAlign w:val="center"/>
          </w:tcPr>
          <w:p w14:paraId="6FAED929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全生命周期碳排放因子</w:t>
            </w:r>
          </w:p>
        </w:tc>
        <w:tc>
          <w:tcPr>
            <w:tcW w:w="0" w:type="auto"/>
            <w:vAlign w:val="center"/>
          </w:tcPr>
          <w:p w14:paraId="3A5DF89E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kgCO₂/kWh</w:t>
            </w:r>
          </w:p>
        </w:tc>
        <w:tc>
          <w:tcPr>
            <w:tcW w:w="2233" w:type="dxa"/>
            <w:vAlign w:val="center"/>
          </w:tcPr>
          <w:p w14:paraId="43254749">
            <w:pPr>
              <w:pStyle w:val="10"/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需外部补充</w:t>
            </w:r>
          </w:p>
        </w:tc>
      </w:tr>
      <w:tr w14:paraId="6C605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7" w:type="dxa"/>
            <w:vAlign w:val="center"/>
          </w:tcPr>
          <w:p w14:paraId="6C7D1C37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控制输入</w:t>
            </w:r>
          </w:p>
        </w:tc>
        <w:tc>
          <w:tcPr>
            <w:tcW w:w="3220" w:type="dxa"/>
            <w:vAlign w:val="center"/>
          </w:tcPr>
          <w:p w14:paraId="333A9A52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调度功率 </w:t>
            </w:r>
            <m:oMath>
              <m:sSubSup>
                <m:sSubSupP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sub>
                <m:sup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BESS</m:t>
                  </m: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sup>
              </m:sSubSup>
            </m:oMath>
          </w:p>
        </w:tc>
        <w:tc>
          <w:tcPr>
            <w:tcW w:w="0" w:type="auto"/>
            <w:vAlign w:val="center"/>
          </w:tcPr>
          <w:p w14:paraId="0A5E6CBF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kW</w:t>
            </w:r>
          </w:p>
        </w:tc>
        <w:tc>
          <w:tcPr>
            <w:tcW w:w="2233" w:type="dxa"/>
            <w:vAlign w:val="center"/>
          </w:tcPr>
          <w:p w14:paraId="6DD56186">
            <w:pPr>
              <w:pStyle w:val="10"/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EMS指令</w:t>
            </w:r>
          </w:p>
        </w:tc>
      </w:tr>
      <w:tr w14:paraId="5EB8A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7" w:type="dxa"/>
            <w:vAlign w:val="center"/>
          </w:tcPr>
          <w:p w14:paraId="12250ADC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输出-实际运行</w:t>
            </w:r>
          </w:p>
        </w:tc>
        <w:tc>
          <w:tcPr>
            <w:tcW w:w="3220" w:type="dxa"/>
            <w:vAlign w:val="center"/>
          </w:tcPr>
          <w:p w14:paraId="03835DC4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实际充放电功率</w:t>
            </w:r>
          </w:p>
        </w:tc>
        <w:tc>
          <w:tcPr>
            <w:tcW w:w="0" w:type="auto"/>
            <w:vAlign w:val="center"/>
          </w:tcPr>
          <w:p w14:paraId="61875CE1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kW</w:t>
            </w:r>
          </w:p>
        </w:tc>
        <w:tc>
          <w:tcPr>
            <w:tcW w:w="2233" w:type="dxa"/>
            <w:vAlign w:val="center"/>
          </w:tcPr>
          <w:p w14:paraId="034A80DB">
            <w:pPr>
              <w:pStyle w:val="10"/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受SOC、功率边界限制</w:t>
            </w:r>
          </w:p>
        </w:tc>
      </w:tr>
      <w:tr w14:paraId="69A4B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7" w:type="dxa"/>
            <w:vAlign w:val="center"/>
          </w:tcPr>
          <w:p w14:paraId="70625927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220" w:type="dxa"/>
            <w:vAlign w:val="center"/>
          </w:tcPr>
          <w:p w14:paraId="4ADAC031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SOC变化量 </w:t>
            </w: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4"/>
                  <w:szCs w:val="24"/>
                </w:rPr>
                <m:t>SO</m:t>
              </m:r>
              <m:sSubSup>
                <m:sSubSupP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C</m:t>
                  </m: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sub>
                <m:sup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sup>
              </m:sSubSup>
            </m:oMath>
          </w:p>
        </w:tc>
        <w:tc>
          <w:tcPr>
            <w:tcW w:w="0" w:type="auto"/>
            <w:vAlign w:val="center"/>
          </w:tcPr>
          <w:p w14:paraId="762B9050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33" w:type="dxa"/>
            <w:vAlign w:val="center"/>
          </w:tcPr>
          <w:p w14:paraId="7D4F93EC">
            <w:pPr>
              <w:pStyle w:val="10"/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状态更新</w:t>
            </w:r>
          </w:p>
        </w:tc>
      </w:tr>
      <w:tr w14:paraId="73828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7" w:type="dxa"/>
            <w:vAlign w:val="center"/>
          </w:tcPr>
          <w:p w14:paraId="16BAB966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220" w:type="dxa"/>
            <w:vAlign w:val="center"/>
          </w:tcPr>
          <w:p w14:paraId="42CE8B8C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循环深度 </w:t>
            </w:r>
            <m:oMath>
              <m:sSub>
                <m:sSubP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δ</m:t>
                  </m: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0" w:type="auto"/>
            <w:vAlign w:val="center"/>
          </w:tcPr>
          <w:p w14:paraId="39A92BD2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33" w:type="dxa"/>
            <w:vAlign w:val="center"/>
          </w:tcPr>
          <w:p w14:paraId="4244FC2E">
            <w:pPr>
              <w:pStyle w:val="10"/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用于老化计算</w:t>
            </w:r>
          </w:p>
        </w:tc>
      </w:tr>
      <w:tr w14:paraId="7F3A7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97" w:type="dxa"/>
            <w:vAlign w:val="center"/>
          </w:tcPr>
          <w:p w14:paraId="0785EFF4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输出-经济性能</w:t>
            </w:r>
          </w:p>
        </w:tc>
        <w:tc>
          <w:tcPr>
            <w:tcW w:w="3220" w:type="dxa"/>
            <w:vAlign w:val="center"/>
          </w:tcPr>
          <w:p w14:paraId="7A878E20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老化成本 </w:t>
            </w: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4"/>
                  <w:szCs w:val="24"/>
                </w:rPr>
                <m:t>O</m:t>
              </m:r>
              <m:sSubSup>
                <m:sSubSupP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C</m:t>
                  </m: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sub>
                <m:sup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sup>
              </m:sSubSup>
            </m:oMath>
          </w:p>
        </w:tc>
        <w:tc>
          <w:tcPr>
            <w:tcW w:w="1572" w:type="dxa"/>
            <w:vAlign w:val="center"/>
          </w:tcPr>
          <w:p w14:paraId="50610764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元</w:t>
            </w:r>
          </w:p>
        </w:tc>
        <w:tc>
          <w:tcPr>
            <w:tcW w:w="2233" w:type="dxa"/>
            <w:vAlign w:val="center"/>
          </w:tcPr>
          <w:p w14:paraId="6C522E19">
            <w:pPr>
              <w:pStyle w:val="10"/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6AF4AE1E">
      <w:pPr>
        <w:numPr>
          <w:ilvl w:val="0"/>
          <w:numId w:val="0"/>
        </w:num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27654E76">
      <w:pPr>
        <w:numPr>
          <w:ilvl w:val="0"/>
          <w:numId w:val="0"/>
        </w:num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3.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CAES</w:t>
      </w:r>
    </w:p>
    <w:tbl>
      <w:tblPr>
        <w:tblStyle w:val="11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2"/>
        <w:gridCol w:w="3021"/>
        <w:gridCol w:w="1532"/>
        <w:gridCol w:w="2557"/>
      </w:tblGrid>
      <w:tr w14:paraId="024E0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412" w:type="dxa"/>
            <w:vAlign w:val="center"/>
          </w:tcPr>
          <w:p w14:paraId="129F892A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参数类别</w:t>
            </w:r>
          </w:p>
        </w:tc>
        <w:tc>
          <w:tcPr>
            <w:tcW w:w="3021" w:type="dxa"/>
            <w:vAlign w:val="center"/>
          </w:tcPr>
          <w:p w14:paraId="494F708C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参数</w:t>
            </w:r>
          </w:p>
        </w:tc>
        <w:tc>
          <w:tcPr>
            <w:tcW w:w="1532" w:type="dxa"/>
            <w:vAlign w:val="center"/>
          </w:tcPr>
          <w:p w14:paraId="0BC39B0B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单位</w:t>
            </w:r>
          </w:p>
        </w:tc>
        <w:tc>
          <w:tcPr>
            <w:tcW w:w="2557" w:type="dxa"/>
            <w:vAlign w:val="center"/>
          </w:tcPr>
          <w:p w14:paraId="60335A62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说明</w:t>
            </w:r>
          </w:p>
        </w:tc>
      </w:tr>
      <w:tr w14:paraId="1A3B4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2" w:type="dxa"/>
            <w:vAlign w:val="center"/>
          </w:tcPr>
          <w:p w14:paraId="45A201B0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  <w:t>设备配置</w:t>
            </w:r>
          </w:p>
        </w:tc>
        <w:tc>
          <w:tcPr>
            <w:tcW w:w="3021" w:type="dxa"/>
            <w:vAlign w:val="center"/>
          </w:tcPr>
          <w:p w14:paraId="5013EDA9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储气罐容积 </w:t>
            </w:r>
            <m:oMath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V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TK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1532" w:type="dxa"/>
            <w:vAlign w:val="center"/>
          </w:tcPr>
          <w:p w14:paraId="3B4301EA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m³</w:t>
            </w:r>
          </w:p>
        </w:tc>
        <w:tc>
          <w:tcPr>
            <w:tcW w:w="2557" w:type="dxa"/>
            <w:vAlign w:val="center"/>
          </w:tcPr>
          <w:p w14:paraId="4976B4CD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</w:tr>
      <w:tr w14:paraId="676DC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2" w:type="dxa"/>
            <w:vAlign w:val="center"/>
          </w:tcPr>
          <w:p w14:paraId="282FD50D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3021" w:type="dxa"/>
            <w:vAlign w:val="center"/>
          </w:tcPr>
          <w:p w14:paraId="65F353B3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压缩机额定功率 </w:t>
            </w:r>
            <m:oMath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P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com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  <w:szCs w:val="24"/>
                    </w:rPr>
                    <m:t>,</m:t>
                  </m:r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max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p>
              </m:sSup>
            </m:oMath>
          </w:p>
        </w:tc>
        <w:tc>
          <w:tcPr>
            <w:tcW w:w="1532" w:type="dxa"/>
            <w:vAlign w:val="center"/>
          </w:tcPr>
          <w:p w14:paraId="68364A66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kW</w:t>
            </w:r>
          </w:p>
        </w:tc>
        <w:tc>
          <w:tcPr>
            <w:tcW w:w="2557" w:type="dxa"/>
            <w:vAlign w:val="center"/>
          </w:tcPr>
          <w:p w14:paraId="2CA71B3E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</w:tr>
      <w:tr w14:paraId="28A35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2" w:type="dxa"/>
            <w:vAlign w:val="center"/>
          </w:tcPr>
          <w:p w14:paraId="446AAE9F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3021" w:type="dxa"/>
            <w:vAlign w:val="center"/>
          </w:tcPr>
          <w:p w14:paraId="2F9FF0C5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涡轮机额定功率 </w:t>
            </w:r>
            <m:oMath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P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tur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  <w:szCs w:val="24"/>
                    </w:rPr>
                    <m:t>,</m:t>
                  </m:r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max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p>
              </m:sSup>
            </m:oMath>
          </w:p>
        </w:tc>
        <w:tc>
          <w:tcPr>
            <w:tcW w:w="1532" w:type="dxa"/>
            <w:vAlign w:val="center"/>
          </w:tcPr>
          <w:p w14:paraId="5F19DEF0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kW</w:t>
            </w:r>
          </w:p>
        </w:tc>
        <w:tc>
          <w:tcPr>
            <w:tcW w:w="2557" w:type="dxa"/>
            <w:vAlign w:val="center"/>
          </w:tcPr>
          <w:p w14:paraId="363823FE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</w:tr>
      <w:tr w14:paraId="0A14F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2" w:type="dxa"/>
            <w:vAlign w:val="center"/>
          </w:tcPr>
          <w:p w14:paraId="48E4A1A3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3021" w:type="dxa"/>
            <w:vAlign w:val="center"/>
          </w:tcPr>
          <w:p w14:paraId="0EF50CE0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储气罐压力范围 </w:t>
            </w:r>
            <m:oMath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  <w:szCs w:val="24"/>
                </w:rPr>
                <m:t>[</m:t>
              </m:r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p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TK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  <w:szCs w:val="24"/>
                    </w:rPr>
                    <m:t>,</m:t>
                  </m:r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min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  <w:szCs w:val="24"/>
                </w:rPr>
                <m:t>,</m:t>
              </m:r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p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TK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  <w:szCs w:val="24"/>
                    </w:rPr>
                    <m:t>,</m:t>
                  </m:r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max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  <w:szCs w:val="24"/>
                </w:rPr>
                <m:t>]</m:t>
              </m:r>
            </m:oMath>
          </w:p>
        </w:tc>
        <w:tc>
          <w:tcPr>
            <w:tcW w:w="1532" w:type="dxa"/>
            <w:vAlign w:val="center"/>
          </w:tcPr>
          <w:p w14:paraId="2C0478BF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bar</w:t>
            </w:r>
          </w:p>
        </w:tc>
        <w:tc>
          <w:tcPr>
            <w:tcW w:w="2557" w:type="dxa"/>
            <w:vAlign w:val="center"/>
          </w:tcPr>
          <w:p w14:paraId="37A51572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</w:tr>
      <w:tr w14:paraId="715AF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2" w:type="dxa"/>
            <w:vAlign w:val="center"/>
          </w:tcPr>
          <w:p w14:paraId="7DE90623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3021" w:type="dxa"/>
            <w:vAlign w:val="center"/>
          </w:tcPr>
          <w:p w14:paraId="66F6FE52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压缩机/涡轮等熵效率 </w:t>
            </w:r>
            <m:oMath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η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com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η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tur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1532" w:type="dxa"/>
            <w:vAlign w:val="center"/>
          </w:tcPr>
          <w:p w14:paraId="074C3D3A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-</w:t>
            </w:r>
          </w:p>
        </w:tc>
        <w:tc>
          <w:tcPr>
            <w:tcW w:w="2557" w:type="dxa"/>
            <w:vAlign w:val="center"/>
          </w:tcPr>
          <w:p w14:paraId="6BEF9F9B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</w:tr>
      <w:tr w14:paraId="4B7EF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2" w:type="dxa"/>
            <w:vAlign w:val="center"/>
          </w:tcPr>
          <w:p w14:paraId="653A1CDF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3021" w:type="dxa"/>
            <w:vAlign w:val="center"/>
          </w:tcPr>
          <w:p w14:paraId="1B93CFD5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非设计工况功率-流量拟合系数</w:t>
            </w:r>
          </w:p>
        </w:tc>
        <w:tc>
          <w:tcPr>
            <w:tcW w:w="1532" w:type="dxa"/>
            <w:vAlign w:val="center"/>
          </w:tcPr>
          <w:p w14:paraId="37052A1F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-</w:t>
            </w:r>
          </w:p>
        </w:tc>
        <w:tc>
          <w:tcPr>
            <w:tcW w:w="2557" w:type="dxa"/>
            <w:vAlign w:val="center"/>
          </w:tcPr>
          <w:p w14:paraId="7DEB6A8D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</w:tr>
      <w:tr w14:paraId="1CF03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2" w:type="dxa"/>
            <w:vAlign w:val="center"/>
          </w:tcPr>
          <w:p w14:paraId="6C1E3A27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  <w:t>经济参数</w:t>
            </w:r>
          </w:p>
        </w:tc>
        <w:tc>
          <w:tcPr>
            <w:tcW w:w="3021" w:type="dxa"/>
            <w:vAlign w:val="center"/>
          </w:tcPr>
          <w:p w14:paraId="7D61D67A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单位功率/容积投资成本</w:t>
            </w:r>
          </w:p>
        </w:tc>
        <w:tc>
          <w:tcPr>
            <w:tcW w:w="1532" w:type="dxa"/>
            <w:vAlign w:val="center"/>
          </w:tcPr>
          <w:p w14:paraId="512EFD59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元/kW, 元/m³</w:t>
            </w:r>
          </w:p>
        </w:tc>
        <w:tc>
          <w:tcPr>
            <w:tcW w:w="2557" w:type="dxa"/>
            <w:vAlign w:val="center"/>
          </w:tcPr>
          <w:p w14:paraId="1E8D0DC9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</w:tr>
      <w:tr w14:paraId="4EB3D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2" w:type="dxa"/>
            <w:vAlign w:val="center"/>
          </w:tcPr>
          <w:p w14:paraId="2EFDB340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3021" w:type="dxa"/>
            <w:vAlign w:val="center"/>
          </w:tcPr>
          <w:p w14:paraId="0795DAF0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启停成本 </w:t>
            </w:r>
            <m:oMath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c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su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1532" w:type="dxa"/>
            <w:vAlign w:val="center"/>
          </w:tcPr>
          <w:p w14:paraId="3D8C386E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元/次</w:t>
            </w:r>
          </w:p>
        </w:tc>
        <w:tc>
          <w:tcPr>
            <w:tcW w:w="2557" w:type="dxa"/>
            <w:vAlign w:val="center"/>
          </w:tcPr>
          <w:p w14:paraId="6BF2C835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见原文式(27)</w:t>
            </w:r>
          </w:p>
        </w:tc>
      </w:tr>
      <w:tr w14:paraId="58160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2" w:type="dxa"/>
            <w:vAlign w:val="center"/>
          </w:tcPr>
          <w:p w14:paraId="724A6EC4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3021" w:type="dxa"/>
            <w:vAlign w:val="center"/>
          </w:tcPr>
          <w:p w14:paraId="41ACF92C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退化成本系数 </w:t>
            </w:r>
            <m:oMath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c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deg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1532" w:type="dxa"/>
            <w:vAlign w:val="center"/>
          </w:tcPr>
          <w:p w14:paraId="334E73A2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元/kWh</w:t>
            </w:r>
          </w:p>
        </w:tc>
        <w:tc>
          <w:tcPr>
            <w:tcW w:w="2557" w:type="dxa"/>
            <w:vAlign w:val="center"/>
          </w:tcPr>
          <w:p w14:paraId="65E38B5D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见原文式(28)</w:t>
            </w:r>
          </w:p>
        </w:tc>
      </w:tr>
      <w:tr w14:paraId="73E1B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2" w:type="dxa"/>
            <w:vAlign w:val="center"/>
          </w:tcPr>
          <w:p w14:paraId="0B61608A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  <w:t>碳排参数</w:t>
            </w:r>
          </w:p>
        </w:tc>
        <w:tc>
          <w:tcPr>
            <w:tcW w:w="3021" w:type="dxa"/>
            <w:vAlign w:val="center"/>
          </w:tcPr>
          <w:p w14:paraId="183F1F05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全生命周期碳排放因子</w:t>
            </w:r>
          </w:p>
        </w:tc>
        <w:tc>
          <w:tcPr>
            <w:tcW w:w="1532" w:type="dxa"/>
            <w:vAlign w:val="center"/>
          </w:tcPr>
          <w:p w14:paraId="0DC0BFCB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kgCO₂/kWh</w:t>
            </w:r>
          </w:p>
        </w:tc>
        <w:tc>
          <w:tcPr>
            <w:tcW w:w="2557" w:type="dxa"/>
            <w:vAlign w:val="center"/>
          </w:tcPr>
          <w:p w14:paraId="1F7004E2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需外部补充</w:t>
            </w:r>
          </w:p>
        </w:tc>
      </w:tr>
      <w:tr w14:paraId="386DE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2" w:type="dxa"/>
            <w:vAlign w:val="center"/>
          </w:tcPr>
          <w:p w14:paraId="08D8D013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  <w:t>控制输入</w:t>
            </w:r>
          </w:p>
        </w:tc>
        <w:tc>
          <w:tcPr>
            <w:tcW w:w="3021" w:type="dxa"/>
            <w:vAlign w:val="center"/>
          </w:tcPr>
          <w:p w14:paraId="6C578DFC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净调度功率 </w:t>
            </w:r>
            <m:oMath>
              <m:sSubSup>
                <m:sSubSup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P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t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b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CAES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p>
              </m:sSubSup>
            </m:oMath>
          </w:p>
        </w:tc>
        <w:tc>
          <w:tcPr>
            <w:tcW w:w="1532" w:type="dxa"/>
            <w:vAlign w:val="center"/>
          </w:tcPr>
          <w:p w14:paraId="5AC93C98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kW</w:t>
            </w:r>
          </w:p>
        </w:tc>
        <w:tc>
          <w:tcPr>
            <w:tcW w:w="2557" w:type="dxa"/>
            <w:vAlign w:val="center"/>
          </w:tcPr>
          <w:p w14:paraId="1B50AB8C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EMS指令</w:t>
            </w:r>
          </w:p>
        </w:tc>
      </w:tr>
      <w:tr w14:paraId="493D4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2" w:type="dxa"/>
            <w:vAlign w:val="center"/>
          </w:tcPr>
          <w:p w14:paraId="2FCDB718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3021" w:type="dxa"/>
            <w:vAlign w:val="center"/>
          </w:tcPr>
          <w:p w14:paraId="018A07DC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启停指令 </w:t>
            </w:r>
            <m:oMath>
              <m:sSubSup>
                <m:sSubSup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u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t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b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c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p>
              </m:sSub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  <w:szCs w:val="24"/>
                </w:rPr>
                <m:t>,</m:t>
              </m:r>
              <m:sSubSup>
                <m:sSubSup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u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t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b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p>
              </m:sSubSup>
            </m:oMath>
          </w:p>
        </w:tc>
        <w:tc>
          <w:tcPr>
            <w:tcW w:w="1532" w:type="dxa"/>
            <w:vAlign w:val="center"/>
          </w:tcPr>
          <w:p w14:paraId="589ABDB7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0/1</w:t>
            </w:r>
          </w:p>
        </w:tc>
        <w:tc>
          <w:tcPr>
            <w:tcW w:w="2557" w:type="dxa"/>
            <w:vAlign w:val="center"/>
          </w:tcPr>
          <w:p w14:paraId="7852F46A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决定压缩或膨胀状态，且互斥</w:t>
            </w:r>
          </w:p>
        </w:tc>
      </w:tr>
      <w:tr w14:paraId="4E31A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2" w:type="dxa"/>
            <w:vAlign w:val="center"/>
          </w:tcPr>
          <w:p w14:paraId="35E80934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输出-实际运行</w:t>
            </w:r>
          </w:p>
        </w:tc>
        <w:tc>
          <w:tcPr>
            <w:tcW w:w="3021" w:type="dxa"/>
            <w:vAlign w:val="center"/>
          </w:tcPr>
          <w:p w14:paraId="5393E771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压缩机功率</w:t>
            </w:r>
            <w:r>
              <w:rPr>
                <w:sz w:val="24"/>
                <w:szCs w:val="24"/>
              </w:rPr>
              <w:t xml:space="preserve"> </w:t>
            </w:r>
            <m:oMath>
              <m:sSubSup>
                <m:sSubSupPr>
                  <m:ctrlPr>
                    <w:rPr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sz w:val="24"/>
                      <w:szCs w:val="24"/>
                    </w:rPr>
                    <m:t>P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t</m:t>
                  </m:r>
                  <m:ctrlPr>
                    <w:rPr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sz w:val="24"/>
                      <w:szCs w:val="24"/>
                    </w:rPr>
                    <m:t>com</m:t>
                  </m:r>
                  <m:ctrlPr>
                    <w:rPr>
                      <w:sz w:val="24"/>
                      <w:szCs w:val="24"/>
                    </w:rPr>
                  </m:ctrlPr>
                </m:sup>
              </m:sSubSup>
            </m:oMath>
            <w:r>
              <w:rPr>
                <w:sz w:val="24"/>
                <w:szCs w:val="24"/>
              </w:rPr>
              <w:t xml:space="preserve"> / </w:t>
            </w:r>
            <w:r>
              <w:rPr>
                <w:rFonts w:hint="eastAsia"/>
                <w:sz w:val="24"/>
                <w:szCs w:val="24"/>
              </w:rPr>
              <w:t>涡轮功率</w:t>
            </w:r>
            <w:r>
              <w:rPr>
                <w:sz w:val="24"/>
                <w:szCs w:val="24"/>
              </w:rPr>
              <w:t xml:space="preserve"> </w:t>
            </w:r>
            <m:oMath>
              <m:sSubSup>
                <m:sSubSupPr>
                  <m:ctrlPr>
                    <w:rPr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sz w:val="24"/>
                      <w:szCs w:val="24"/>
                    </w:rPr>
                    <m:t>P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t</m:t>
                  </m:r>
                  <m:ctrlPr>
                    <w:rPr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sz w:val="24"/>
                      <w:szCs w:val="24"/>
                    </w:rPr>
                    <m:t>tur</m:t>
                  </m:r>
                  <m:ctrlPr>
                    <w:rPr>
                      <w:sz w:val="24"/>
                      <w:szCs w:val="24"/>
                    </w:rPr>
                  </m:ctrlPr>
                </m:sup>
              </m:sSubSup>
            </m:oMath>
          </w:p>
        </w:tc>
        <w:tc>
          <w:tcPr>
            <w:tcW w:w="1532" w:type="dxa"/>
            <w:vAlign w:val="center"/>
          </w:tcPr>
          <w:p w14:paraId="6D076EBE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kW</w:t>
            </w:r>
          </w:p>
        </w:tc>
        <w:tc>
          <w:tcPr>
            <w:tcW w:w="2557" w:type="dxa"/>
            <w:vAlign w:val="center"/>
          </w:tcPr>
          <w:p w14:paraId="1CD35C29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由净功率和运行模式分解</w:t>
            </w:r>
          </w:p>
        </w:tc>
      </w:tr>
      <w:tr w14:paraId="7742C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2" w:type="dxa"/>
            <w:vAlign w:val="center"/>
          </w:tcPr>
          <w:p w14:paraId="1DEF8B7B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3021" w:type="dxa"/>
            <w:vAlign w:val="center"/>
          </w:tcPr>
          <w:p w14:paraId="7929ED3A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eastAsia="宋体"/>
                <w:sz w:val="24"/>
                <w:szCs w:val="24"/>
              </w:rPr>
              <w:t>储气/放气质量流量</w:t>
            </w:r>
            <w:r>
              <w:rPr>
                <w:rFonts w:ascii="Times New Roman" w:eastAsia="宋体"/>
                <w:sz w:val="24"/>
                <w:szCs w:val="24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sSubSupPr>
                <m:e>
                  <m:limUpp>
                    <m:limUppPr>
                      <m:ctrlPr>
                        <w:rPr>
                          <w:rFonts w:ascii="Cambria Math" w:hAnsi="Cambria Math" w:eastAsia="宋体"/>
                          <w:sz w:val="24"/>
                          <w:szCs w:val="24"/>
                        </w:rPr>
                      </m:ctrlPr>
                    </m:limUppPr>
                    <m:e>
                      <m:r>
                        <m:rPr/>
                        <w:rPr>
                          <w:rFonts w:ascii="Times New Roman" w:hAnsi="Times New Roman" w:eastAsia="宋体"/>
                          <w:sz w:val="24"/>
                          <w:szCs w:val="24"/>
                        </w:rPr>
                        <m:t>m</m:t>
                      </m:r>
                      <m:ctrlPr>
                        <w:rPr>
                          <w:rFonts w:ascii="Cambria Math" w:hAnsi="Cambria Math" w:eastAsia="宋体"/>
                          <w:sz w:val="24"/>
                          <w:szCs w:val="24"/>
                        </w:rPr>
                      </m:ctrlPr>
                    </m:e>
                    <m:lim>
                      <m:r>
                        <m:rPr>
                          <m:sty m:val="p"/>
                        </m:rPr>
                        <w:rPr>
                          <w:rFonts w:ascii="Times New Roman" w:hAnsi="Times New Roman" w:eastAsia="宋体"/>
                          <w:sz w:val="24"/>
                          <w:szCs w:val="24"/>
                        </w:rPr>
                        <m:t>˙</m:t>
                      </m:r>
                      <m:ctrlPr>
                        <w:rPr>
                          <w:rFonts w:ascii="Cambria Math" w:hAnsi="Cambria Math" w:eastAsia="宋体"/>
                          <w:sz w:val="24"/>
                          <w:szCs w:val="24"/>
                        </w:rPr>
                      </m:ctrlPr>
                    </m:lim>
                  </m:limUpp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/>
                      <w:sz w:val="24"/>
                      <w:szCs w:val="24"/>
                    </w:rPr>
                    <m:t>t</m:t>
                  </m:r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Times New Roman" w:hAnsi="Times New Roman" w:eastAsia="宋体"/>
                      <w:sz w:val="24"/>
                      <w:szCs w:val="24"/>
                    </w:rPr>
                    <m:t>air</m:t>
                  </m:r>
                  <m:r>
                    <m:rPr>
                      <m:sty m:val="p"/>
                    </m:rPr>
                    <w:rPr>
                      <w:rFonts w:ascii="Times New Roman" w:hAnsi="Times New Roman" w:eastAsia="宋体"/>
                      <w:sz w:val="24"/>
                      <w:szCs w:val="24"/>
                    </w:rPr>
                    <m:t>,</m:t>
                  </m:r>
                  <m:r>
                    <m:rPr/>
                    <w:rPr>
                      <w:rFonts w:ascii="Times New Roman" w:hAnsi="Times New Roman" w:eastAsia="宋体"/>
                      <w:sz w:val="24"/>
                      <w:szCs w:val="24"/>
                    </w:rPr>
                    <m:t>ch</m:t>
                  </m:r>
                  <m:r>
                    <m:rPr>
                      <m:sty m:val="p"/>
                    </m:rPr>
                    <w:rPr>
                      <w:rFonts w:ascii="Times New Roman" w:hAnsi="Times New Roman" w:eastAsia="宋体"/>
                      <w:sz w:val="24"/>
                      <w:szCs w:val="24"/>
                    </w:rPr>
                    <m:t>/</m:t>
                  </m:r>
                  <m:r>
                    <m:rPr/>
                    <w:rPr>
                      <w:rFonts w:ascii="Times New Roman" w:hAnsi="Times New Roman" w:eastAsia="宋体"/>
                      <w:sz w:val="24"/>
                      <w:szCs w:val="24"/>
                    </w:rPr>
                    <m:t>dis</m:t>
                  </m:r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sup>
              </m:sSubSup>
            </m:oMath>
          </w:p>
        </w:tc>
        <w:tc>
          <w:tcPr>
            <w:tcW w:w="1532" w:type="dxa"/>
            <w:vAlign w:val="center"/>
          </w:tcPr>
          <w:p w14:paraId="387F81C0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eastAsia="宋体"/>
                <w:sz w:val="24"/>
                <w:szCs w:val="24"/>
              </w:rPr>
              <w:t>kg/s</w:t>
            </w:r>
          </w:p>
        </w:tc>
        <w:tc>
          <w:tcPr>
            <w:tcW w:w="2557" w:type="dxa"/>
            <w:vAlign w:val="center"/>
          </w:tcPr>
          <w:p w14:paraId="3B1451AD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</w:tr>
      <w:tr w14:paraId="54F76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2" w:type="dxa"/>
            <w:vAlign w:val="center"/>
          </w:tcPr>
          <w:p w14:paraId="5B8E5CDC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3021" w:type="dxa"/>
            <w:vAlign w:val="center"/>
          </w:tcPr>
          <w:p w14:paraId="6BC111B0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eastAsia="宋体"/>
                <w:sz w:val="24"/>
                <w:szCs w:val="24"/>
              </w:rPr>
              <w:t>储气罐压力</w:t>
            </w:r>
            <w:r>
              <w:rPr>
                <w:rFonts w:ascii="Times New Roman" w:eastAsia="宋体"/>
                <w:sz w:val="24"/>
                <w:szCs w:val="24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Times New Roman" w:hAnsi="Times New Roman" w:eastAsia="宋体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/>
                      <w:sz w:val="24"/>
                      <w:szCs w:val="24"/>
                    </w:rPr>
                    <m:t>t</m:t>
                  </m:r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Times New Roman" w:hAnsi="Times New Roman" w:eastAsia="宋体"/>
                      <w:sz w:val="24"/>
                      <w:szCs w:val="24"/>
                    </w:rPr>
                    <m:t>TK</m:t>
                  </m:r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sup>
              </m:sSubSup>
            </m:oMath>
            <w:r>
              <w:rPr>
                <w:rFonts w:ascii="Times New Roman" w:eastAsia="宋体"/>
                <w:sz w:val="24"/>
                <w:szCs w:val="24"/>
              </w:rPr>
              <w:t xml:space="preserve"> / SOC</w:t>
            </w:r>
          </w:p>
        </w:tc>
        <w:tc>
          <w:tcPr>
            <w:tcW w:w="1532" w:type="dxa"/>
            <w:vAlign w:val="center"/>
          </w:tcPr>
          <w:p w14:paraId="7E8CE1B0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eastAsia="宋体"/>
                <w:sz w:val="24"/>
                <w:szCs w:val="24"/>
              </w:rPr>
              <w:t>bar / -</w:t>
            </w:r>
          </w:p>
        </w:tc>
        <w:tc>
          <w:tcPr>
            <w:tcW w:w="2557" w:type="dxa"/>
            <w:vAlign w:val="center"/>
          </w:tcPr>
          <w:p w14:paraId="5058C051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eastAsia="宋体"/>
                <w:sz w:val="24"/>
                <w:szCs w:val="24"/>
              </w:rPr>
              <w:t>状态更新</w:t>
            </w:r>
          </w:p>
        </w:tc>
      </w:tr>
      <w:tr w14:paraId="1547C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2" w:type="dxa"/>
            <w:vAlign w:val="center"/>
          </w:tcPr>
          <w:p w14:paraId="5ED4F1F6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eastAsia="宋体"/>
                <w:b/>
                <w:bCs/>
                <w:sz w:val="24"/>
                <w:szCs w:val="24"/>
              </w:rPr>
              <w:t>输出-经济性能</w:t>
            </w:r>
          </w:p>
        </w:tc>
        <w:tc>
          <w:tcPr>
            <w:tcW w:w="3021" w:type="dxa"/>
            <w:vAlign w:val="center"/>
          </w:tcPr>
          <w:p w14:paraId="2A5764B5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eastAsia="宋体"/>
                <w:sz w:val="24"/>
                <w:szCs w:val="24"/>
              </w:rPr>
              <w:t>启停成本</w:t>
            </w:r>
            <w:r>
              <w:rPr>
                <w:rFonts w:ascii="Times New Roman" w:eastAsia="宋体"/>
                <w:sz w:val="24"/>
                <w:szCs w:val="24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Times New Roman" w:hAnsi="Times New Roman" w:eastAsia="宋体"/>
                      <w:sz w:val="24"/>
                      <w:szCs w:val="24"/>
                    </w:rPr>
                    <m:t>C</m:t>
                  </m:r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/>
                      <w:sz w:val="24"/>
                      <w:szCs w:val="24"/>
                    </w:rPr>
                    <m:t>t</m:t>
                  </m:r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Times New Roman" w:hAnsi="Times New Roman" w:eastAsia="宋体"/>
                      <w:sz w:val="24"/>
                      <w:szCs w:val="24"/>
                    </w:rPr>
                    <m:t>su</m:t>
                  </m:r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sup>
              </m:sSubSup>
            </m:oMath>
          </w:p>
        </w:tc>
        <w:tc>
          <w:tcPr>
            <w:tcW w:w="1532" w:type="dxa"/>
            <w:vAlign w:val="center"/>
          </w:tcPr>
          <w:p w14:paraId="69E9F7E1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eastAsia="宋体"/>
                <w:sz w:val="24"/>
                <w:szCs w:val="24"/>
              </w:rPr>
              <w:t>元</w:t>
            </w:r>
          </w:p>
        </w:tc>
        <w:tc>
          <w:tcPr>
            <w:tcW w:w="2557" w:type="dxa"/>
            <w:vAlign w:val="center"/>
          </w:tcPr>
          <w:p w14:paraId="5B1A58FE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</w:tr>
      <w:tr w14:paraId="0A17C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2" w:type="dxa"/>
            <w:vAlign w:val="center"/>
          </w:tcPr>
          <w:p w14:paraId="0D7E9591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3021" w:type="dxa"/>
            <w:vAlign w:val="center"/>
          </w:tcPr>
          <w:p w14:paraId="12DFE0FF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eastAsia="宋体"/>
                <w:sz w:val="24"/>
                <w:szCs w:val="24"/>
              </w:rPr>
              <w:t>退化成本</w:t>
            </w:r>
            <w:r>
              <w:rPr>
                <w:rFonts w:ascii="Times New Roman" w:eastAsia="宋体"/>
                <w:sz w:val="24"/>
                <w:szCs w:val="24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Times New Roman" w:hAnsi="Times New Roman" w:eastAsia="宋体"/>
                      <w:sz w:val="24"/>
                      <w:szCs w:val="24"/>
                    </w:rPr>
                    <m:t>C</m:t>
                  </m:r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/>
                      <w:sz w:val="24"/>
                      <w:szCs w:val="24"/>
                    </w:rPr>
                    <m:t>t</m:t>
                  </m:r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Times New Roman" w:hAnsi="Times New Roman" w:eastAsia="宋体"/>
                      <w:sz w:val="24"/>
                      <w:szCs w:val="24"/>
                    </w:rPr>
                    <m:t>deg</m:t>
                  </m:r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sup>
              </m:sSubSup>
            </m:oMath>
          </w:p>
        </w:tc>
        <w:tc>
          <w:tcPr>
            <w:tcW w:w="1532" w:type="dxa"/>
            <w:vAlign w:val="center"/>
          </w:tcPr>
          <w:p w14:paraId="6F8990B6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eastAsia="宋体"/>
                <w:sz w:val="24"/>
                <w:szCs w:val="24"/>
              </w:rPr>
              <w:t>元</w:t>
            </w:r>
          </w:p>
        </w:tc>
        <w:tc>
          <w:tcPr>
            <w:tcW w:w="2557" w:type="dxa"/>
            <w:vAlign w:val="center"/>
          </w:tcPr>
          <w:p w14:paraId="18566981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</w:tr>
      <w:tr w14:paraId="37B37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412" w:type="dxa"/>
            <w:vAlign w:val="center"/>
          </w:tcPr>
          <w:p w14:paraId="52820DC1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3021" w:type="dxa"/>
            <w:vAlign w:val="center"/>
          </w:tcPr>
          <w:p w14:paraId="47145F75">
            <w:pPr>
              <w:pStyle w:val="1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eastAsia="宋体"/>
                <w:sz w:val="24"/>
                <w:szCs w:val="24"/>
              </w:rPr>
              <w:t>热水产出收益</w:t>
            </w:r>
          </w:p>
        </w:tc>
        <w:tc>
          <w:tcPr>
            <w:tcW w:w="1532" w:type="dxa"/>
            <w:vAlign w:val="center"/>
          </w:tcPr>
          <w:p w14:paraId="40302509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eastAsia="宋体"/>
                <w:sz w:val="24"/>
                <w:szCs w:val="24"/>
              </w:rPr>
              <w:t>元</w:t>
            </w:r>
          </w:p>
        </w:tc>
        <w:tc>
          <w:tcPr>
            <w:tcW w:w="2557" w:type="dxa"/>
            <w:vAlign w:val="center"/>
          </w:tcPr>
          <w:p w14:paraId="04648A0C">
            <w:pPr>
              <w:pStyle w:val="1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eastAsia="宋体"/>
                <w:sz w:val="24"/>
                <w:szCs w:val="24"/>
              </w:rPr>
              <w:t>热水产量</w:t>
            </w:r>
            <w:r>
              <w:rPr>
                <w:rFonts w:ascii="Times New Roman" w:eastAsia="宋体"/>
                <w:sz w:val="24"/>
                <w:szCs w:val="24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sSubSupPr>
                <m:e>
                  <m:limUpp>
                    <m:limUppPr>
                      <m:ctrlPr>
                        <w:rPr>
                          <w:rFonts w:ascii="Cambria Math" w:hAnsi="Cambria Math" w:eastAsia="宋体"/>
                          <w:sz w:val="24"/>
                          <w:szCs w:val="24"/>
                        </w:rPr>
                      </m:ctrlPr>
                    </m:limUppPr>
                    <m:e>
                      <m:r>
                        <m:rPr/>
                        <w:rPr>
                          <w:rFonts w:ascii="Times New Roman" w:hAnsi="Times New Roman" w:eastAsia="宋体"/>
                          <w:sz w:val="24"/>
                          <w:szCs w:val="24"/>
                        </w:rPr>
                        <m:t>m</m:t>
                      </m:r>
                      <m:ctrlPr>
                        <w:rPr>
                          <w:rFonts w:ascii="Cambria Math" w:hAnsi="Cambria Math" w:eastAsia="宋体"/>
                          <w:sz w:val="24"/>
                          <w:szCs w:val="24"/>
                        </w:rPr>
                      </m:ctrlPr>
                    </m:e>
                    <m:lim>
                      <m:r>
                        <m:rPr>
                          <m:sty m:val="p"/>
                        </m:rPr>
                        <w:rPr>
                          <w:rFonts w:ascii="Times New Roman" w:hAnsi="Times New Roman" w:eastAsia="宋体"/>
                          <w:sz w:val="24"/>
                          <w:szCs w:val="24"/>
                        </w:rPr>
                        <m:t>˙</m:t>
                      </m:r>
                      <m:ctrlPr>
                        <w:rPr>
                          <w:rFonts w:ascii="Cambria Math" w:hAnsi="Cambria Math" w:eastAsia="宋体"/>
                          <w:sz w:val="24"/>
                          <w:szCs w:val="24"/>
                        </w:rPr>
                      </m:ctrlPr>
                    </m:lim>
                  </m:limUpp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/>
                      <w:sz w:val="24"/>
                      <w:szCs w:val="24"/>
                    </w:rPr>
                    <m:t>t</m:t>
                  </m:r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Times New Roman" w:hAnsi="Times New Roman" w:eastAsia="宋体"/>
                      <w:sz w:val="24"/>
                      <w:szCs w:val="24"/>
                    </w:rPr>
                    <m:t>w</m:t>
                  </m:r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sup>
              </m:sSubSup>
            </m:oMath>
            <w:r>
              <w:rPr>
                <w:rFonts w:ascii="Times New Roman" w:eastAsia="宋体"/>
                <w:sz w:val="24"/>
                <w:szCs w:val="24"/>
              </w:rPr>
              <w:t xml:space="preserve"> × </w:t>
            </w:r>
            <w:r>
              <w:rPr>
                <w:rFonts w:hint="eastAsia" w:ascii="Times New Roman" w:eastAsia="宋体"/>
                <w:sz w:val="24"/>
                <w:szCs w:val="24"/>
              </w:rPr>
              <w:t>热水售价</w:t>
            </w:r>
            <w:r>
              <w:rPr>
                <w:rFonts w:ascii="Times New Roman" w:eastAsia="宋体"/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ascii="Times New Roman" w:hAnsi="Times New Roman" w:eastAsia="宋体"/>
                      <w:sz w:val="24"/>
                      <w:szCs w:val="24"/>
                    </w:rPr>
                    <m:t>λ</m:t>
                  </m:r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ascii="Times New Roman" w:hAnsi="Times New Roman" w:eastAsia="宋体"/>
                      <w:sz w:val="24"/>
                      <w:szCs w:val="24"/>
                    </w:rPr>
                    <m:t>w</m:t>
                  </m:r>
                  <m:ctrlPr>
                    <w:rPr>
                      <w:rFonts w:ascii="Cambria Math" w:hAnsi="Cambria Math" w:eastAsia="宋体"/>
                      <w:sz w:val="24"/>
                      <w:szCs w:val="24"/>
                    </w:rPr>
                  </m:ctrlPr>
                </m:sup>
              </m:sSup>
            </m:oMath>
          </w:p>
        </w:tc>
      </w:tr>
    </w:tbl>
    <w:p w14:paraId="6D368411">
      <w:pPr>
        <w:numPr>
          <w:ilvl w:val="0"/>
          <w:numId w:val="0"/>
        </w:numP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4FADC55F">
      <w:pPr>
        <w:jc w:val="both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F665C"/>
    <w:rsid w:val="030F6088"/>
    <w:rsid w:val="07CB58EF"/>
    <w:rsid w:val="098552E8"/>
    <w:rsid w:val="0AA01E07"/>
    <w:rsid w:val="0EF74779"/>
    <w:rsid w:val="103058D1"/>
    <w:rsid w:val="10D97CD5"/>
    <w:rsid w:val="159C16EE"/>
    <w:rsid w:val="17CB3831"/>
    <w:rsid w:val="1B7C1D69"/>
    <w:rsid w:val="1B9F4D32"/>
    <w:rsid w:val="1BB97C91"/>
    <w:rsid w:val="22851A6B"/>
    <w:rsid w:val="263552F9"/>
    <w:rsid w:val="29424157"/>
    <w:rsid w:val="2BED3413"/>
    <w:rsid w:val="2CAF637E"/>
    <w:rsid w:val="2D2D23D3"/>
    <w:rsid w:val="33E3305D"/>
    <w:rsid w:val="33E67CE2"/>
    <w:rsid w:val="3B0F21EC"/>
    <w:rsid w:val="3B5B751B"/>
    <w:rsid w:val="3DEF0C9E"/>
    <w:rsid w:val="4099190A"/>
    <w:rsid w:val="41ED7771"/>
    <w:rsid w:val="433D2782"/>
    <w:rsid w:val="444B4348"/>
    <w:rsid w:val="48A27727"/>
    <w:rsid w:val="4B2B3FB5"/>
    <w:rsid w:val="4B6E6C91"/>
    <w:rsid w:val="4C333604"/>
    <w:rsid w:val="4D9E2F90"/>
    <w:rsid w:val="57756BF6"/>
    <w:rsid w:val="5C4F21B0"/>
    <w:rsid w:val="5C783DC5"/>
    <w:rsid w:val="5EE46CBD"/>
    <w:rsid w:val="5F5202C0"/>
    <w:rsid w:val="5F9C5F19"/>
    <w:rsid w:val="60A90CB5"/>
    <w:rsid w:val="60BF6810"/>
    <w:rsid w:val="62C44768"/>
    <w:rsid w:val="660E4A25"/>
    <w:rsid w:val="6972741B"/>
    <w:rsid w:val="69E36355"/>
    <w:rsid w:val="6FAF4F8F"/>
    <w:rsid w:val="70EF1161"/>
    <w:rsid w:val="71C50FC5"/>
    <w:rsid w:val="72133A8D"/>
    <w:rsid w:val="7590399A"/>
    <w:rsid w:val="76254230"/>
    <w:rsid w:val="7870617D"/>
    <w:rsid w:val="78E416C3"/>
    <w:rsid w:val="7D4F7D6D"/>
    <w:rsid w:val="7DF80AB8"/>
    <w:rsid w:val="7E6E4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before="180" w:after="180"/>
    </w:p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paragraph" w:customStyle="1" w:styleId="10">
    <w:name w:val="Compact"/>
    <w:basedOn w:val="5"/>
    <w:qFormat/>
    <w:uiPriority w:val="0"/>
    <w:pPr>
      <w:spacing w:before="36" w:after="36"/>
    </w:pPr>
  </w:style>
  <w:style w:type="table" w:customStyle="1" w:styleId="11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microsoft.com/office/2006/relationships/keyMapCustomizations" Target="customizations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1021</Words>
  <Characters>1384</Characters>
  <Lines>0</Lines>
  <Paragraphs>0</Paragraphs>
  <TotalTime>0</TotalTime>
  <ScaleCrop>false</ScaleCrop>
  <LinksUpToDate>false</LinksUpToDate>
  <CharactersWithSpaces>1498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2025-09-28T20:19:00Z</dcterms:created>
  <dc:creator>24091</dc:creator>
  <cp:lastModifiedBy>Ypa! товарищ</cp:lastModifiedBy>
  <dcterms:modified xsi:type="dcterms:W3CDTF">2026-05-14T05:57:24Z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DAD83623F5054C71A62DDC291957B345_12</vt:lpwstr>
  </property>
  <property fmtid="{D5CDD505-2E9C-101B-9397-08002B2CF9AE}" pid="4" name="KSOTemplateDocerSaveRecord">
    <vt:lpwstr>eyJoZGlkIjoiNDA0MmRiYTg0MzEwYzgxMjc1Y2I2MGZlYzZiMTA5YmEiLCJ1c2VySWQiOiIxMjc4MDAwNTg3In0=</vt:lpwstr>
  </property>
</Properties>
</file>