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color w:val="24292F"/>
          <w:sz w:val="44"/>
          <w:lang w:eastAsia="zh-CN"/>
        </w:rPr>
        <w:t>表格桥接智能体 · 操作手册</w:t>
      </w:r>
      <w:r/>
    </w:p>
    <w:p>
      <w:pPr/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跨系统表格数据自动化桥接与处理智能体</w:t>
      </w:r>
      <w:r>
        <w:rPr>
          <w:color w:val="6E7480"/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｜</w:t>
      </w:r>
      <w:r>
        <w:rPr>
          <w:color w:val="6E7480"/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版本</w:t>
      </w:r>
      <w:r>
        <w:rPr>
          <w:color w:val="6E7480"/>
          <w:sz w:val="21"/>
        </w:rPr>
        <w:t xml:space="preserve"> V1.0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｜</w:t>
      </w:r>
      <w:r>
        <w:rPr>
          <w:color w:val="6E7480"/>
          <w:sz w:val="21"/>
        </w:rPr>
        <w:t xml:space="preserve"> 2026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年</w:t>
      </w:r>
      <w:r>
        <w:rPr>
          <w:color w:val="6E7480"/>
          <w:sz w:val="21"/>
        </w:rPr>
        <w:t xml:space="preserve"> 9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月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一、系统概述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表格桥接智能体面向企业内部异构老旧系统（</w:t>
      </w:r>
      <w:r>
        <w:t>ERP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OA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HR </w:t>
      </w:r>
      <w:r>
        <w:rPr>
          <w:rFonts w:ascii="Microsoft YaHei" w:eastAsia="Microsoft YaHei" w:hAnsi="Microsoft YaHei" w:cs="Microsoft YaHei" w:hint="eastAsia"/>
          <w:lang w:eastAsia="zh-CN"/>
        </w:rPr>
        <w:t>等）之间的数据流转场景。业务人员只需上传各系统导出的原始表格，用一句自然语言描述处理要求，系统即自动完成表头语义解析、跨表关联计算与目标格式转换，产出可直接导入目标系统的标准模板文件。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系统由四个页面组成：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页面</w:t>
            </w:r>
          </w:p>
        </w:tc>
        <w:tc>
          <w:tcPr>
            <w:tcW w:type="pct" w:w="39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职责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智能体工作台</w:t>
            </w:r>
          </w:p>
        </w:tc>
        <w:tc>
          <w:tcPr>
            <w:tcW w:type="pct" w:w="3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主操作入口：上传数据、输入指令、运行智能体、核对结果、下载导入文件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通用字段映射</w:t>
            </w:r>
          </w:p>
        </w:tc>
        <w:tc>
          <w:tcPr>
            <w:tcW w:type="pct" w:w="3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面向未知结构的新报表，逐列配置映射关系或计算表达式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验收自检</w:t>
            </w:r>
          </w:p>
        </w:tc>
        <w:tc>
          <w:tcPr>
            <w:tcW w:type="pct" w:w="3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一键执行逻辑精度、格式兼容、抗错鲁棒三条验收项，输出</w:t>
            </w:r>
            <w:r>
              <w:t xml:space="preserve"> </w:t>
            </w:r>
            <w:r>
              <w:t xml:space="preserve"> PASS / FAIL </w:t>
            </w:r>
            <w:r>
              <w:t xml:space="preserve"> </w:t>
            </w:r>
            <w:r>
              <w:t>与证据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大模型设置</w:t>
            </w:r>
          </w:p>
        </w:tc>
        <w:tc>
          <w:tcPr>
            <w:tcW w:type="pct" w:w="3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配置</w:t>
            </w:r>
            <w:r>
              <w:t xml:space="preserve"> </w:t>
            </w:r>
            <w:r>
              <w:t xml:space="preserve"> OpenAI </w:t>
            </w:r>
            <w:r>
              <w:t xml:space="preserve"> </w:t>
            </w:r>
            <w:r>
              <w:t>兼容格式的大模型接口，用于意图识别与未知表头映射兜底</w:t>
            </w:r>
          </w:p>
        </w:tc>
      </w:tr>
    </w:tbl>
    <w:p>
      <w:r/>
      <w:r>
        <w:rPr>
          <w:rFonts w:ascii="Microsoft YaHei" w:eastAsia="Microsoft YaHei" w:hAnsi="Microsoft YaHei" w:cs="Microsoft YaHei" w:hint="eastAsia"/>
          <w:lang w:eastAsia="zh-CN"/>
        </w:rPr>
        <w:t>准确性设计原则：所有数值计算与逻辑判定均由确定性规则引擎完成；大模型只参与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理解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环节（意图识别、未知表头语义匹配），不参与任何计算，确保结果零失真。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二、快速开始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2.1 环境要求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操作系统：</w:t>
      </w:r>
      <w:r>
        <w:t xml:space="preserve">Windows / macOS / Linux </w:t>
      </w:r>
      <w:r>
        <w:rPr>
          <w:rFonts w:ascii="Microsoft YaHei" w:eastAsia="Microsoft YaHei" w:hAnsi="Microsoft YaHei" w:cs="Microsoft YaHei" w:hint="eastAsia"/>
          <w:lang w:eastAsia="zh-CN"/>
        </w:rPr>
        <w:t>均可；</w:t>
      </w:r>
    </w:p>
    <w:p>
      <w:pPr>
        <w:pStyle w:val="ListBullet"/>
      </w:pPr>
      <w:r>
        <w:t xml:space="preserve">Python 3.10 </w:t>
      </w:r>
      <w:r>
        <w:rPr>
          <w:rFonts w:ascii="Microsoft YaHei" w:eastAsia="Microsoft YaHei" w:hAnsi="Microsoft YaHei" w:cs="Microsoft YaHei" w:hint="eastAsia"/>
          <w:lang w:eastAsia="zh-CN"/>
        </w:rPr>
        <w:t>及以上，依赖：</w:t>
      </w:r>
      <w:r>
        <w:t>fastapi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uvicorn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pandas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openpyxl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python-dateutil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浏览器：</w:t>
      </w:r>
      <w:r>
        <w:t xml:space="preserve">Chrome / Edge </w:t>
      </w:r>
      <w:r>
        <w:rPr>
          <w:rFonts w:ascii="Microsoft YaHei" w:eastAsia="Microsoft YaHei" w:hAnsi="Microsoft YaHei" w:cs="Microsoft YaHei" w:hint="eastAsia"/>
          <w:lang w:eastAsia="zh-CN"/>
        </w:rPr>
        <w:t>等现代浏览器。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2.2 启动系统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在 </w:t>
      </w:r>
      <w:r>
        <w:rPr>
          <w:rFonts w:ascii="Consolas" w:hAnsi="Consolas"/>
          <w:sz w:val="20"/>
        </w:rPr>
        <w:t>agent_app/webapp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目录下执行：</w:t>
      </w:r>
      <w:r/>
      <w:r>
        <w:rPr>
          <w:rFonts w:ascii="Consolas" w:hAnsi="Consolas"/>
          <w:sz w:val="20"/>
        </w:rPr>
        <w:t>python -m uvicorn server:app --host 127.0.0.1 --port 8620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浏览器访问 </w:t>
      </w:r>
      <w:r>
        <w:rPr>
          <w:rFonts w:ascii="Consolas" w:hAnsi="Consolas"/>
          <w:sz w:val="20"/>
        </w:rPr>
        <w:t>http://127.0.0.1:8620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即可使用。首次进入工作台页面如下（尚未载入数据）：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智能体工作台初始页面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三、智能体工作台操作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3.1 第一步：载入数据源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点击「上传导出表」选择一个或多个系统导出文件（支持</w:t>
      </w:r>
      <w:r>
        <w:t xml:space="preserve"> xlsx / xls / csv</w:t>
      </w:r>
      <w:r>
        <w:rPr>
          <w:rFonts w:ascii="Microsoft YaHei" w:eastAsia="Microsoft YaHei" w:hAnsi="Microsoft YaHei" w:cs="Microsoft YaHei" w:hint="eastAsia"/>
          <w:lang w:eastAsia="zh-CN"/>
        </w:rPr>
        <w:t>），或点击「载入演示数据」体验完整流程。上传后系统自动解析表结构，并按表头语义识别每张表的业务角色（如</w:t>
      </w:r>
      <w:r>
        <w:t xml:space="preserve"> OA </w:t>
      </w:r>
      <w:r>
        <w:rPr>
          <w:rFonts w:ascii="Microsoft YaHei" w:eastAsia="Microsoft YaHei" w:hAnsi="Microsoft YaHei" w:cs="Microsoft YaHei" w:hint="eastAsia"/>
          <w:lang w:eastAsia="zh-CN"/>
        </w:rPr>
        <w:t>请假单、</w:t>
      </w:r>
      <w:r>
        <w:t xml:space="preserve">HR </w:t>
      </w:r>
      <w:r>
        <w:rPr>
          <w:rFonts w:ascii="Microsoft YaHei" w:eastAsia="Microsoft YaHei" w:hAnsi="Microsoft YaHei" w:cs="Microsoft YaHei" w:hint="eastAsia"/>
          <w:lang w:eastAsia="zh-CN"/>
        </w:rPr>
        <w:t>年假余额表、</w:t>
      </w:r>
      <w:r>
        <w:t xml:space="preserve">ERP </w:t>
      </w:r>
      <w:r>
        <w:rPr>
          <w:rFonts w:ascii="Microsoft YaHei" w:eastAsia="Microsoft YaHei" w:hAnsi="Microsoft YaHei" w:cs="Microsoft YaHei" w:hint="eastAsia"/>
          <w:lang w:eastAsia="zh-CN"/>
        </w:rPr>
        <w:t>加班记录），识别结果与置信度直接标注在文件卡片上：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已载入三张演示导出表，角色自动识别完成</w:t>
      </w:r>
      <w:r/>
      <w:r>
        <w:rPr>
          <w:rFonts w:ascii="Microsoft YaHei" w:eastAsia="Microsoft YaHei" w:hAnsi="Microsoft YaHei" w:cs="Microsoft YaHei" w:hint="eastAsia"/>
          <w:lang w:eastAsia="zh-CN"/>
        </w:rPr>
        <w:t>解析阶段即完成数据体检：空行、乱码字符、非法日期等问题数据会被自动隔离并计入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异常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数量，不会进入后续计算。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3.2 第二步：输入业务指令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在「业务指令」框中用自然语言描述处理要求，例如：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752"/>
        <w:gridCol w:w="3888"/>
      </w:tblGrid>
      <w:tr>
        <w:tc>
          <w:tcPr>
            <w:tcW w:type="pct" w:w="275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指令示例</w:t>
            </w:r>
          </w:p>
        </w:tc>
        <w:tc>
          <w:tcPr>
            <w:tcW w:type="pct" w:w="225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触发的技能</w:t>
            </w:r>
          </w:p>
        </w:tc>
      </w:tr>
      <w:tr>
        <w:tc>
          <w:tcPr>
            <w:tcW w:type="pct" w:w="275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做假期余量结算：先扣年假额度，超出部分自动转成事假，年假和事假分行记录</w:t>
            </w:r>
          </w:p>
        </w:tc>
        <w:tc>
          <w:tcPr>
            <w:tcW w:type="pct" w:w="225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假期余量结算</w:t>
            </w:r>
          </w:p>
        </w:tc>
      </w:tr>
      <w:tr>
        <w:tc>
          <w:tcPr>
            <w:tcW w:type="pct" w:w="275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把生产部</w:t>
            </w:r>
            <w:r>
              <w:t xml:space="preserve"> </w:t>
            </w:r>
            <w:r>
              <w:t xml:space="preserve"> 2026</w:t>
            </w:r>
            <w:r>
              <w:t xml:space="preserve"> </w:t>
            </w:r>
            <w:r>
              <w:t>年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月到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加班时长大于等于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小时的记录，整理成</w:t>
            </w:r>
            <w:r>
              <w:t xml:space="preserve"> </w:t>
            </w:r>
            <w:r>
              <w:t xml:space="preserve"> HR </w:t>
            </w:r>
            <w:r>
              <w:t xml:space="preserve"> </w:t>
            </w:r>
            <w:r>
              <w:t>加班导入模板</w:t>
            </w:r>
          </w:p>
        </w:tc>
        <w:tc>
          <w:tcPr>
            <w:tcW w:type="pct" w:w="225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加班记录转</w:t>
            </w:r>
            <w:r>
              <w:t xml:space="preserve"> </w:t>
            </w:r>
            <w:r>
              <w:t xml:space="preserve"> HR </w:t>
            </w:r>
            <w:r>
              <w:t xml:space="preserve"> </w:t>
            </w:r>
            <w:r>
              <w:t>导入</w:t>
            </w:r>
          </w:p>
        </w:tc>
      </w:tr>
      <w:tr>
        <w:tc>
          <w:tcPr>
            <w:tcW w:type="pct" w:w="275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结算年假，只看装配车间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月的记录</w:t>
            </w:r>
          </w:p>
        </w:tc>
        <w:tc>
          <w:tcPr>
            <w:tcW w:type="pct" w:w="225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假期余量结算（带动态筛选）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也可以直接点击指令框下方的示例标签快速填入。系统按指令关键词自动选择技能，也可在「执行技能」下拉框中手动指定。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3.3 第三步：运行并查看执行轨迹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点击「运行智能体」。执行完成后，结果区默认展示</w:t>
      </w:r>
      <w:r>
        <w:rPr>
          <w:rFonts w:ascii="Microsoft YaHei" w:eastAsia="Microsoft YaHei" w:hAnsi="Microsoft YaHei" w:cs="Microsoft YaHei" w:hint="eastAsia"/>
          <w:b/>
          <w:lang w:eastAsia="zh-CN"/>
        </w:rPr>
        <w:t>执行轨迹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意图解析、源表角色判定、字段映射、跨表计算等每一步的中间结论全部可见，处理过程透明可追溯：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执行完成：结果总览与执行轨迹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3.4 第四步：核对字段映射（可修正）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切换到「字段映射」页签，查看每个目标字段对应的源列与匹配方式。若某条映射不符合业务预期，直接在下拉框中改为正确的源列，点击「按修正后的映射重算」，系统立即以人工指定的映射重新生成结果：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字段映射明细，支持人工修正后重算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3.5 第五步：核对结果数据与计算明细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「结果数据」页签展示生成的导入模板内容预览；「计算明细」页签逐单展示年假抵扣、事假转化的中间计算过程与员工剩余年假，方便与人工</w:t>
      </w:r>
      <w:r>
        <w:t xml:space="preserve"> Excel </w:t>
      </w:r>
      <w:r>
        <w:rPr>
          <w:rFonts w:ascii="Microsoft YaHei" w:eastAsia="Microsoft YaHei" w:hAnsi="Microsoft YaHei" w:cs="Microsoft YaHei" w:hint="eastAsia"/>
          <w:lang w:eastAsia="zh-CN"/>
        </w:rPr>
        <w:t>复算结果逐格核对：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5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结果数据预览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逐单计算明细与剩余年假汇总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3.6 第六步：处理异常数据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「异常日志」页签列出所有被隔离的问题行，包括源表、行号、异常类型、说明与原始数据，供人工复核补录。正常数据不受异常行影响，完整输出：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异常日志：隔离行明细，随导出文件一并交付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3.7 第七步：下载导入文件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点击「下载导入文件（含异常日志）」。可选日期输出格式：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Excel 日期型</w:t>
      </w:r>
      <w:r>
        <w:rPr>
          <w:rFonts w:ascii="Microsoft YaHei" w:eastAsia="Microsoft YaHei" w:hAnsi="Microsoft YaHei" w:cs="Microsoft YaHei" w:hint="eastAsia"/>
          <w:lang w:eastAsia="zh-CN"/>
        </w:rPr>
        <w:t>：单元格为真正的日期类型，适配支持日期校验的目标系统；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yyyy-mm-dd 文本</w:t>
      </w:r>
      <w:r>
        <w:rPr>
          <w:rFonts w:ascii="Microsoft YaHei" w:eastAsia="Microsoft YaHei" w:hAnsi="Microsoft YaHei" w:cs="Microsoft YaHei" w:hint="eastAsia"/>
          <w:lang w:eastAsia="zh-CN"/>
        </w:rPr>
        <w:t>：适配仅识别文本日期的老旧系统。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下载的</w:t>
      </w:r>
      <w:r>
        <w:t xml:space="preserve"> xlsx </w:t>
      </w:r>
      <w:r>
        <w:rPr>
          <w:rFonts w:ascii="Microsoft YaHei" w:eastAsia="Microsoft YaHei" w:hAnsi="Microsoft YaHei" w:cs="Microsoft YaHei" w:hint="eastAsia"/>
          <w:lang w:eastAsia="zh-CN"/>
        </w:rPr>
        <w:t>文件包含三个工作表：导入主表（列名、列序与目标系统模板完全一致）、异常处理日志、计算明细（如适用）。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四、通用字段映射（未知结构自适应）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面对不在预设场景内的新报表，进入「通用字段映射」页：上传任意结构报表后，逐列配置目标列名、来源列与数据类型；来源也可选择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写表达式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，支持四则运算与</w:t>
      </w:r>
      <w:r>
        <w:t xml:space="preserve"> round </w:t>
      </w:r>
      <w:r>
        <w:rPr>
          <w:rFonts w:ascii="Microsoft YaHei" w:eastAsia="Microsoft YaHei" w:hAnsi="Microsoft YaHei" w:cs="Microsoft YaHei" w:hint="eastAsia"/>
          <w:lang w:eastAsia="zh-CN"/>
        </w:rPr>
        <w:t>等函数（变量为源列名，如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20"/>
          <w:lang w:eastAsia="zh-CN"/>
        </w:rPr>
        <w:t>round(时长*8)</w:t>
      </w:r>
      <w:r>
        <w:rPr>
          <w:rFonts w:ascii="Microsoft YaHei" w:eastAsia="Microsoft YaHei" w:hAnsi="Microsoft YaHei" w:cs="Microsoft YaHei" w:hint="eastAsia"/>
          <w:lang w:eastAsia="zh-CN"/>
        </w:rPr>
        <w:t>）。还可填写自然语言筛选条件。配置完成后点击「生成导入文件」：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通用字段映射：逐列配置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表达式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自然语言筛选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五、验收自检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「验收自检」页对应任务书三条验收要求一键执行：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6566"/>
      </w:tblGrid>
      <w:tr>
        <w:tc>
          <w:tcPr>
            <w:tcW w:type="pct" w:w="12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验收项</w:t>
            </w:r>
          </w:p>
        </w:tc>
        <w:tc>
          <w:tcPr>
            <w:tcW w:type="pct" w:w="38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验证内容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逻辑计算精度</w:t>
            </w:r>
          </w:p>
        </w:tc>
        <w:tc>
          <w:tcPr>
            <w:tcW w:type="pct" w:w="38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年假抵扣与事假转化的固定用例，与人工</w:t>
            </w:r>
            <w:r>
              <w:t xml:space="preserve"> </w:t>
            </w:r>
            <w:r>
              <w:t xml:space="preserve"> Excel </w:t>
            </w:r>
            <w:r>
              <w:t xml:space="preserve"> </w:t>
            </w:r>
            <w:r>
              <w:t>公式复算结果逐格比对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格式兼容度</w:t>
            </w:r>
          </w:p>
        </w:tc>
        <w:tc>
          <w:tcPr>
            <w:tcW w:type="pct" w:w="38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列名、列序与空白模板一致；无合并单元格、无公式；数值列为数字、日期列为日期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抗错鲁棒性</w:t>
            </w:r>
          </w:p>
        </w:tc>
        <w:tc>
          <w:tcPr>
            <w:tcW w:type="pct" w:w="38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注入空行、乱码、非法日期后不宕机，正常数据完整输出，异常行进入日志</w:t>
            </w:r>
          </w:p>
        </w:tc>
      </w:tr>
    </w:tbl>
    <w:p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9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验收自检：三条验收项全部</w:t>
      </w:r>
      <w:r>
        <w:t xml:space="preserve"> PASS</w:t>
      </w:r>
      <w:r>
        <w:rPr>
          <w:rFonts w:ascii="Microsoft YaHei" w:eastAsia="Microsoft YaHei" w:hAnsi="Microsoft YaHei" w:cs="Microsoft YaHei" w:hint="eastAsia"/>
          <w:lang w:eastAsia="zh-CN"/>
        </w:rPr>
        <w:t>，附证据说明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六、大模型设置（可选）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系统在不配置大模型时即可完整运行（纯规则模式）。如需增强自然语言理解能力，可在「大模型设置」页配置任意</w:t>
      </w:r>
      <w:r>
        <w:t xml:space="preserve"> OpenAI </w:t>
      </w:r>
      <w:r>
        <w:rPr>
          <w:rFonts w:ascii="Microsoft YaHei" w:eastAsia="Microsoft YaHei" w:hAnsi="Microsoft YaHei" w:cs="Microsoft YaHei" w:hint="eastAsia"/>
          <w:lang w:eastAsia="zh-CN"/>
        </w:rPr>
        <w:t>兼容接口：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10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大模型设置：</w:t>
      </w:r>
      <w:r>
        <w:t xml:space="preserve">OpenAI </w:t>
      </w:r>
      <w:r>
        <w:rPr>
          <w:rFonts w:ascii="Microsoft YaHei" w:eastAsia="Microsoft YaHei" w:hAnsi="Microsoft YaHei" w:cs="Microsoft YaHei" w:hint="eastAsia"/>
          <w:lang w:eastAsia="zh-CN"/>
        </w:rPr>
        <w:t>兼容格式，带连接测试</w:t>
      </w:r>
      <w:r/>
    </w:p>
    <w:p>
      <w:pPr>
        <w:pStyle w:val="ListBullet"/>
      </w:pPr>
      <w:r>
        <w:rPr>
          <w:b/>
        </w:rPr>
        <w:t>API Base URL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OpenAI </w:t>
      </w:r>
      <w:r>
        <w:rPr>
          <w:rFonts w:ascii="Microsoft YaHei" w:eastAsia="Microsoft YaHei" w:hAnsi="Microsoft YaHei" w:cs="Microsoft YaHei" w:hint="eastAsia"/>
          <w:lang w:eastAsia="zh-CN"/>
        </w:rPr>
        <w:t>兼容接口地址，以</w:t>
      </w:r>
      <w:r>
        <w:t xml:space="preserve"> /v1 </w:t>
      </w:r>
      <w:r>
        <w:rPr>
          <w:rFonts w:ascii="Microsoft YaHei" w:eastAsia="Microsoft YaHei" w:hAnsi="Microsoft YaHei" w:cs="Microsoft YaHei" w:hint="eastAsia"/>
          <w:lang w:eastAsia="zh-CN"/>
        </w:rPr>
        <w:t>结尾；</w:t>
      </w:r>
    </w:p>
    <w:p>
      <w:pPr>
        <w:pStyle w:val="ListBullet"/>
      </w:pPr>
      <w:r>
        <w:rPr>
          <w:b/>
        </w:rPr>
        <w:t>API Key</w:t>
      </w:r>
      <w:r>
        <w:rPr>
          <w:rFonts w:ascii="Microsoft YaHei" w:eastAsia="Microsoft YaHei" w:hAnsi="Microsoft YaHei" w:cs="Microsoft YaHei" w:hint="eastAsia"/>
          <w:lang w:eastAsia="zh-CN"/>
        </w:rPr>
        <w:t>：对应服务的密钥，保存后不再回显；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模型名称</w:t>
      </w:r>
      <w:r>
        <w:rPr>
          <w:rFonts w:ascii="Microsoft YaHei" w:eastAsia="Microsoft YaHei" w:hAnsi="Microsoft YaHei" w:cs="Microsoft YaHei" w:hint="eastAsia"/>
          <w:lang w:eastAsia="zh-CN"/>
        </w:rPr>
        <w:t>：如</w:t>
      </w:r>
      <w:r>
        <w:t xml:space="preserve"> glm-5.3-flash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gpt-4o-mini </w:t>
      </w:r>
      <w:r>
        <w:rPr>
          <w:rFonts w:ascii="Microsoft YaHei" w:eastAsia="Microsoft YaHei" w:hAnsi="Microsoft YaHei" w:cs="Microsoft YaHei" w:hint="eastAsia"/>
          <w:lang w:eastAsia="zh-CN"/>
        </w:rPr>
        <w:t>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配置后点击「测试连接」，提示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连接成功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即生效。</w:t>
      </w:r>
      <w:r/>
      <w:r>
        <w:rPr>
          <w:rFonts w:ascii="Microsoft YaHei" w:eastAsia="Microsoft YaHei" w:hAnsi="Microsoft YaHei" w:cs="Microsoft YaHei" w:hint="eastAsia"/>
          <w:lang w:eastAsia="zh-CN"/>
        </w:rPr>
        <w:t>调用约束：大模型仅在意图识别与未知表头映射兜底时被调用，</w:t>
      </w:r>
      <w:r>
        <w:t xml:space="preserve">temperature </w:t>
      </w:r>
      <w:r>
        <w:rPr>
          <w:rFonts w:ascii="Microsoft YaHei" w:eastAsia="Microsoft YaHei" w:hAnsi="Microsoft YaHei" w:cs="Microsoft YaHei" w:hint="eastAsia"/>
          <w:lang w:eastAsia="zh-CN"/>
        </w:rPr>
        <w:t>固定为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；所有数值与逻辑判定始终由确定性规则引擎完成，与所配置的模型无关。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七、常见问题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3283"/>
        <w:gridCol w:w="5357"/>
      </w:tblGrid>
      <w:tr>
        <w:tc>
          <w:tcPr>
            <w:tcW w:type="pct" w:w="19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问题</w:t>
            </w:r>
          </w:p>
        </w:tc>
        <w:tc>
          <w:tcPr>
            <w:tcW w:type="pct" w:w="31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处理方式</w:t>
            </w:r>
          </w:p>
        </w:tc>
      </w:tr>
      <w:tr>
        <w:tc>
          <w:tcPr>
            <w:tcW w:type="pct" w:w="1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上传后提示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部分源表已失效</w:t>
            </w:r>
            <w:r>
              <w:t xml:space="preserve"> </w:t>
            </w:r>
            <w:r>
              <w:t>"</w:t>
            </w:r>
          </w:p>
        </w:tc>
        <w:tc>
          <w:tcPr>
            <w:tcW w:type="pct" w:w="3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服务重启会清空内存中的会话数据，重新上传或重新载入演示数据即可</w:t>
            </w:r>
          </w:p>
        </w:tc>
      </w:tr>
      <w:tr>
        <w:tc>
          <w:tcPr>
            <w:tcW w:type="pct" w:w="1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识别的表角色不对</w:t>
            </w:r>
          </w:p>
        </w:tc>
        <w:tc>
          <w:tcPr>
            <w:tcW w:type="pct" w:w="3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在「执行技能」区的表角色分配下拉框中手动指定对应文件</w:t>
            </w:r>
          </w:p>
        </w:tc>
      </w:tr>
      <w:tr>
        <w:tc>
          <w:tcPr>
            <w:tcW w:type="pct" w:w="1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某列映射到了错误的源列</w:t>
            </w:r>
          </w:p>
        </w:tc>
        <w:tc>
          <w:tcPr>
            <w:tcW w:type="pct" w:w="3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在「字段映射」页签修正后点击重算</w:t>
            </w:r>
          </w:p>
        </w:tc>
      </w:tr>
      <w:tr>
        <w:tc>
          <w:tcPr>
            <w:tcW w:type="pct" w:w="1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导出文件导入目标系统报日期错误</w:t>
            </w:r>
          </w:p>
        </w:tc>
        <w:tc>
          <w:tcPr>
            <w:tcW w:type="pct" w:w="3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将日期输出格式切换为</w:t>
            </w:r>
            <w:r>
              <w:t xml:space="preserve"> </w:t>
            </w:r>
            <w:r>
              <w:t xml:space="preserve">"yyyy-mm-dd </w:t>
            </w:r>
            <w:r>
              <w:t xml:space="preserve"> </w:t>
            </w:r>
            <w:r>
              <w:t>文本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后重新下载</w:t>
            </w:r>
          </w:p>
        </w:tc>
      </w:tr>
      <w:tr>
        <w:tc>
          <w:tcPr>
            <w:tcW w:type="pct" w:w="1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指令中的筛选条件未生效</w:t>
            </w:r>
          </w:p>
        </w:tc>
        <w:tc>
          <w:tcPr>
            <w:tcW w:type="pct" w:w="3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检查部门、时间写法是否与源表数据一致；或改用「通用字段映射」页的筛选条件输入框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 UI" w:hAnsi="Microsoft YaHei UI" w:eastAsia="Microsoft YaHei U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292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0"/>
      <w:outlineLvl w:val="1"/>
    </w:pPr>
    <w:rPr>
      <w:rFonts w:asciiTheme="majorHAnsi" w:eastAsiaTheme="majorEastAsia" w:hAnsiTheme="majorHAnsi" w:cstheme="majorBidi"/>
      <w:b/>
      <w:bCs/>
      <w:color w:val="2456C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0"/>
      <w:outlineLvl w:val="2"/>
    </w:pPr>
    <w:rPr>
      <w:rFonts w:asciiTheme="majorHAnsi" w:eastAsiaTheme="majorEastAsia" w:hAnsiTheme="majorHAnsi" w:cstheme="majorBidi"/>
      <w:b/>
      <w:bCs/>
      <w:color w:val="24292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