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0" w:line="360" w:lineRule="auto"/>
      </w:pPr>
      <w:r>
        <w:rPr>
          <w:rFonts w:ascii="Times New Roman" w:cs="Times New Roman" w:eastAsia="Times New Roman" w:hAnsi="Times New Roman"/>
          <w:b/>
          <w:bCs/>
          <w:color w:val="000000"/>
          <w:sz w:val="30"/>
          <w:szCs w:val="30"/>
        </w:rPr>
        <w:t xml:space="preserve">Chapter 2: Literature Review</w:t>
      </w:r>
    </w:p>
    <w:p>
      <w:pPr>
        <w:pStyle w:val="Heading2"/>
        <w:spacing w:after="240" w:before="360" w:line="360" w:lineRule="auto"/>
      </w:pPr>
      <w:r>
        <w:rPr>
          <w:rFonts w:ascii="Times New Roman" w:cs="Times New Roman" w:eastAsia="Times New Roman" w:hAnsi="Times New Roman"/>
          <w:b/>
          <w:bCs/>
          <w:color w:val="000000"/>
          <w:sz w:val="26"/>
          <w:szCs w:val="26"/>
        </w:rPr>
        <w:t xml:space="preserve">2.1 Evolution of Large Language Models and the Persistence of Hallucination</w:t>
      </w:r>
    </w:p>
    <w:p>
      <w:pPr>
        <w:spacing w:after="240" w:line="360" w:lineRule="auto"/>
        <w:jc w:val="left"/>
      </w:pPr>
      <w:r>
        <w:rPr>
          <w:rFonts w:ascii="Times New Roman" w:cs="Times New Roman" w:eastAsia="Times New Roman" w:hAnsi="Times New Roman"/>
          <w:i w:val="false"/>
          <w:iCs w:val="false"/>
          <w:sz w:val="24"/>
          <w:szCs w:val="24"/>
        </w:rPr>
        <w:t xml:space="preserve">The trajectory of natural language processing over the past decade has been defined by a shift from task-specific statistical models toward general-purpose, pre-trained language models capable of few-shot and zero-shot reasoning. Bidirectional Encoder Representations from Transformers (BERT) established the paradigm of contextual, bidirectional pre-training on large unlabelled corpora, after which generative decoder-only architectures in the GPT family demonstrated that scaling parameter count and training data yielded emergent capabilities in reasoning, summarisation and dialogue. The most recent generation of proprietary systems, including Claude and Gemini, has extended this trajectory further, combining scale with instruction-tuning and safety alignment to produce assistants capable of fluent, apparently authoritative responses across almost any domain a user might raise. This fluency, however, is precisely what makes a longstanding weakness of these systems so consequential: none of them possess a verified, queryable record of what is true. Every output, however confident it sounds, is generated by sampling from a learned probability distribution over tokens, not by consulting a ground truth.</w:t>
      </w:r>
    </w:p>
    <w:p>
      <w:pPr>
        <w:spacing w:after="240" w:line="360" w:lineRule="auto"/>
        <w:jc w:val="left"/>
      </w:pPr>
      <w:r>
        <w:rPr>
          <w:rFonts w:ascii="Times New Roman" w:cs="Times New Roman" w:eastAsia="Times New Roman" w:hAnsi="Times New Roman"/>
          <w:i w:val="false"/>
          <w:iCs w:val="false"/>
          <w:sz w:val="24"/>
          <w:szCs w:val="24"/>
        </w:rPr>
        <w:t xml:space="preserve">This weakness is formalised in the literature as hallucination — the generation of content that is fluent and plausible but factually incorrect or unsupported by any source (Ji et al., 2023). Ji et al.'s (2023) survey remains one of the most widely cited attempts to systematise the problem, distinguishing hallucinations that contradict provided source material from those that are simply unverifiable against any external reference. Huang et al. (2025) extend this taxonomy further, arguing that hallucination is not a peripheral bug that scale alone will resolve, but a structural consequence of training objectives that reward fluency and next-token likelihood rather than factual grounding. Their survey catalogues detection and mitigation strategies but concedes that no existing technique eliminates hallucination outright; at best, current methods reduce its frequency in specific, well-resourced domains.</w:t>
      </w:r>
    </w:p>
    <w:p>
      <w:pPr>
        <w:spacing w:after="240" w:line="360" w:lineRule="auto"/>
        <w:jc w:val="left"/>
      </w:pPr>
      <w:r>
        <w:rPr>
          <w:rFonts w:ascii="Times New Roman" w:cs="Times New Roman" w:eastAsia="Times New Roman" w:hAnsi="Times New Roman"/>
          <w:i w:val="false"/>
          <w:iCs w:val="false"/>
          <w:sz w:val="24"/>
          <w:szCs w:val="24"/>
        </w:rPr>
        <w:t xml:space="preserve">That final caveat is the pivot point for the present research. Nearly all of the empirical work cited in both surveys is conducted on English or a small set of other high-resource languages, where large, high-quality training corpora allow a model's parametric memory to approximate a genuine knowledge base. Low-resource languages enjoy no such approximation. Alansari and Luqman (2026) argue that hallucination risk scales inversely with training data volume: where a language is thinly represented, the model has fewer examples from which to interpolate a plausible-sounding answer, and it is correspondingly more likely to produce fluent misinformation rather than an honest refusal. Trivedi et al. (2026) provide direct quantitative support for this claim, reporting substantially higher hallucination rates for low-resource languages relative to English on matched question sets, despite using the same underlying models. Sinhala, spoken by roughly seventeen million people but represented by only a fraction of a percent of most training corpora, sits squarely inside this vulnerable category.</w:t>
      </w:r>
    </w:p>
    <w:p>
      <w:pPr>
        <w:spacing w:after="240" w:line="360" w:lineRule="auto"/>
        <w:jc w:val="left"/>
      </w:pPr>
      <w:r>
        <w:rPr>
          <w:rFonts w:ascii="Times New Roman" w:cs="Times New Roman" w:eastAsia="Times New Roman" w:hAnsi="Times New Roman"/>
          <w:i w:val="false"/>
          <w:iCs w:val="false"/>
          <w:sz w:val="24"/>
          <w:szCs w:val="24"/>
        </w:rPr>
        <w:t xml:space="preserve">This matters because a Sinhala-medium student using an off-the-shelf LLM for GCE Ordinary Level Business Studies revision is, on the evidence above, more likely to receive confidently wrong information than an equivalent English-medium student asking the same conceptual question. This asymmetry motivates the central premise of the present research: that grounding generation in a verified Sinhala knowledge base, rather than relying on parametric memory alone, is not a stylistic preference but a necessary corrective for a documented and language-specific failure mode.</w:t>
      </w:r>
    </w:p>
    <w:p>
      <w:pPr>
        <w:pStyle w:val="Heading2"/>
        <w:spacing w:after="240" w:before="360" w:line="360" w:lineRule="auto"/>
      </w:pPr>
      <w:r>
        <w:rPr>
          <w:rFonts w:ascii="Times New Roman" w:cs="Times New Roman" w:eastAsia="Times New Roman" w:hAnsi="Times New Roman"/>
          <w:b/>
          <w:bCs/>
          <w:color w:val="000000"/>
          <w:sz w:val="26"/>
          <w:szCs w:val="26"/>
        </w:rPr>
        <w:t xml:space="preserve">2.2 A Taxonomy of Hallucination and Its Stakes for Educational Applications</w:t>
      </w:r>
    </w:p>
    <w:p>
      <w:pPr>
        <w:spacing w:after="240" w:line="360" w:lineRule="auto"/>
        <w:jc w:val="left"/>
      </w:pPr>
      <w:r>
        <w:rPr>
          <w:rFonts w:ascii="Times New Roman" w:cs="Times New Roman" w:eastAsia="Times New Roman" w:hAnsi="Times New Roman"/>
          <w:i w:val="false"/>
          <w:iCs w:val="false"/>
          <w:sz w:val="24"/>
          <w:szCs w:val="24"/>
        </w:rPr>
        <w:t xml:space="preserve">Treating hallucination as a single, undifferentiated phenomenon obscures more than it reveals, and a substantial strand of the literature has instead sought to classify it by underlying cause. Bender et al. (2021), in their influential critique of ever-larger language models, characterise these systems as “stochastic parrots”: architectures that reproduce statistical patterns of form from their training data without any grounded model of meaning or reference to the world. Their argument, though written before the current generation of instruction-tuned assistants, anticipates precisely the mechanism that later hallucination surveys formalise — a model trained to predict plausible continuations has no internal representation of truth against which to check its own output.</w:t>
      </w:r>
    </w:p>
    <w:p>
      <w:pPr>
        <w:spacing w:after="240" w:line="360" w:lineRule="auto"/>
        <w:jc w:val="left"/>
      </w:pPr>
      <w:r>
        <w:rPr>
          <w:rFonts w:ascii="Times New Roman" w:cs="Times New Roman" w:eastAsia="Times New Roman" w:hAnsi="Times New Roman"/>
          <w:i w:val="false"/>
          <w:iCs w:val="false"/>
          <w:sz w:val="24"/>
          <w:szCs w:val="24"/>
        </w:rPr>
        <w:t xml:space="preserve">Building on this diagnosis, subsequent taxonomies typically separate hallucination into at least three overlapping categories. Factual hallucination occurs when a model asserts a claim — a date, a statistic, a definition — that is objectively false. Semantic hallucination arises when an answer is internally coherent and superficially relevant but does not follow from, or actively contradicts, the source material the model was meant to be summarising or explaining; Ji et al. (2023) refer to this as an intrinsic hallucination, as distinct from claims that are simply unverifiable. Contextual hallucination describes a narrower failure in retrieval-grounded settings, where a model draws on background knowledge from pre-training rather than restricting itself to the context actually supplied to it, effectively ignoring the grounding it was given. Huang et al. (2025) map detection and mitigation techniques against each of these categories and find that no single method performs well across all three, which suggests that hallucination is not one bug but a family of related failure modes with different root causes.</w:t>
      </w:r>
    </w:p>
    <w:p>
      <w:pPr>
        <w:spacing w:after="240" w:line="360" w:lineRule="auto"/>
        <w:jc w:val="left"/>
      </w:pPr>
      <w:r>
        <w:rPr>
          <w:rFonts w:ascii="Times New Roman" w:cs="Times New Roman" w:eastAsia="Times New Roman" w:hAnsi="Times New Roman"/>
          <w:i w:val="false"/>
          <w:iCs w:val="false"/>
          <w:sz w:val="24"/>
          <w:szCs w:val="24"/>
        </w:rPr>
        <w:t xml:space="preserve">The distinction matters more in education than in almost any other application domain. A factually wrong answer to a Business Studies question — misstating a definition of opportunity cost, or inventing a non-existent provision of Sri Lankan company law — is straightforwardly falsifiable and, if caught, correctable. A semantic hallucination is more insidious: an answer that sounds textbook-accurate, uses the right register and vocabulary, and yet subtly departs from what the syllabus actually specifies, is far harder for a sixteen-year-old student, or even a time-pressed teacher, to detect. Kasneci et al. (2023) note that this asymmetry of scrutiny is one of the principal risks of deploying large language models in education: learners are being asked to evaluate the correctness of content in a domain in which, by definition, they are still developing expertise. Datta et al. (2026) add a further complication, showing that automated hallucination detectors themselves suffer a measurable low-resource effect, performing less reliably at flagging hallucinated content in under-represented languages than in English; Benkirane et al. (2024) report a comparable pattern specifically for hallucination detection in machine-translated low-resource text. Detection, in other words, is not a solved problem that can simply be layered on top of generation once a language is under-resourced — it is subject to the same weakness it is meant to catch.</w:t>
      </w:r>
    </w:p>
    <w:p>
      <w:pPr>
        <w:spacing w:after="240" w:line="360" w:lineRule="auto"/>
        <w:jc w:val="left"/>
      </w:pPr>
      <w:r>
        <w:rPr>
          <w:rFonts w:ascii="Times New Roman" w:cs="Times New Roman" w:eastAsia="Times New Roman" w:hAnsi="Times New Roman"/>
          <w:i w:val="false"/>
          <w:iCs w:val="false"/>
          <w:sz w:val="24"/>
          <w:szCs w:val="24"/>
        </w:rPr>
        <w:t xml:space="preserve">This matters because a system intended for GCE O/L Business Studies revision cannot be evaluated on hallucination rate alone; it must also be assessed on which type of hallucination it produces, since semantic and contextual failures are precisely the categories most likely to escape both automated and teacher-led review. This is the motivation for combining automated faithfulness metrics with blind human validation in the present study's evaluation design, discussed further in section 2.8.</w:t>
      </w:r>
    </w:p>
    <w:p>
      <w:pPr>
        <w:pStyle w:val="Heading2"/>
        <w:spacing w:after="240" w:before="360" w:line="360" w:lineRule="auto"/>
      </w:pPr>
      <w:r>
        <w:rPr>
          <w:rFonts w:ascii="Times New Roman" w:cs="Times New Roman" w:eastAsia="Times New Roman" w:hAnsi="Times New Roman"/>
          <w:b/>
          <w:bCs/>
          <w:color w:val="000000"/>
          <w:sz w:val="26"/>
          <w:szCs w:val="26"/>
        </w:rPr>
        <w:t xml:space="preserve">2.3 Retrieval-Augmented Generation: Foundations and Mechanism</w:t>
      </w:r>
    </w:p>
    <w:p>
      <w:pPr>
        <w:spacing w:after="240" w:line="360" w:lineRule="auto"/>
        <w:jc w:val="left"/>
      </w:pPr>
      <w:r>
        <w:rPr>
          <w:rFonts w:ascii="Times New Roman" w:cs="Times New Roman" w:eastAsia="Times New Roman" w:hAnsi="Times New Roman"/>
          <w:i w:val="false"/>
          <w:iCs w:val="false"/>
          <w:sz w:val="24"/>
          <w:szCs w:val="24"/>
        </w:rPr>
        <w:t xml:space="preserve">Retrieval-Augmented Generation was introduced by Lewis et al. (2020) as a direct architectural response to the limitations described above. Rather than relying solely on knowledge implicitly encoded in a model's parameters at training time, RAG couples a neural retriever, which searches an external corpus for passages relevant to a query, with a generator that conditions its output on the retrieved text. In principle, this converts a closed-book task — answer from memory alone — into an open-book one: retrieve, then answer using what was found. Lewis et al. (2020) demonstrated that this architecture reduced factual error rates on knowledge-intensive tasks relative to purely parametric baselines, and the paper has since become the reference architecture against which nearly all subsequent retrieval-augmented systems are compared.</w:t>
      </w:r>
    </w:p>
    <w:p>
      <w:pPr>
        <w:spacing w:after="240" w:line="360" w:lineRule="auto"/>
        <w:jc w:val="left"/>
      </w:pPr>
      <w:r>
        <w:rPr>
          <w:rFonts w:ascii="Times New Roman" w:cs="Times New Roman" w:eastAsia="Times New Roman" w:hAnsi="Times New Roman"/>
          <w:i w:val="false"/>
          <w:iCs w:val="false"/>
          <w:sz w:val="24"/>
          <w:szCs w:val="24"/>
        </w:rPr>
        <w:t xml:space="preserve">The mechanism by which RAG is presumed to reduce hallucination is worth making explicit, because it is not automatic. Grounding only helps if two conditions hold: the retriever must surface passages that are actually relevant to the query, and the generator must attend to those passages rather than falling back on its parametric prior. Where either condition fails — an irrelevant passage is retrieved, or the model ignores a relevant one — the architecture can still hallucinate, now compounded by the appearance of an evidentiary basis it does not actually rest on. This is precisely the contextual hallucination category discussed in section 2.2, and it explains why RAG is best understood as a mitigation, not a cure.</w:t>
      </w:r>
    </w:p>
    <w:p>
      <w:pPr>
        <w:spacing w:after="240" w:line="360" w:lineRule="auto"/>
        <w:jc w:val="left"/>
      </w:pPr>
      <w:r>
        <w:rPr>
          <w:rFonts w:ascii="Times New Roman" w:cs="Times New Roman" w:eastAsia="Times New Roman" w:hAnsi="Times New Roman"/>
          <w:i w:val="false"/>
          <w:iCs w:val="false"/>
          <w:sz w:val="24"/>
          <w:szCs w:val="24"/>
        </w:rPr>
        <w:t xml:space="preserve">The retriever component itself is typically built on one of two paradigms. Sparse retrieval methods, exemplified by classical term-matching approaches, rank passages by lexical overlap with the query and require no learned embedding space, which makes them robust and interpretable but blind to synonymy and paraphrase. Dense retrieval methods instead embed both queries and passages into a shared vector space using a neural encoder, ranking candidates by embedding similarity; this captures semantic relatedness that lexical overlap misses, at the cost of requiring a well-trained, domain-appropriate encoder. Benchmarking efforts such as MIRACL (Zhang et al., 2023) and Mr. TyDi (Zhang et al., 2021) were designed specifically to test how well dense retrievers, trained predominantly on English and a handful of other high-resource languages, transfer to typologically diverse languages — and both report a substantial performance gap for languages outside that training distribution. The implication is that dense retrieval's principal advantage over sparse methods, semantic generalisation, is also where it is most fragile when a language is under-represented in the retriever's own training data.</w:t>
      </w:r>
    </w:p>
    <w:p>
      <w:pPr>
        <w:spacing w:after="240" w:line="360" w:lineRule="auto"/>
        <w:jc w:val="left"/>
      </w:pPr>
      <w:r>
        <w:rPr>
          <w:rFonts w:ascii="Times New Roman" w:cs="Times New Roman" w:eastAsia="Times New Roman" w:hAnsi="Times New Roman"/>
          <w:i w:val="false"/>
          <w:iCs w:val="false"/>
          <w:sz w:val="24"/>
          <w:szCs w:val="24"/>
        </w:rPr>
        <w:t xml:space="preserve">This matters because the present research adopts dense retrieval by necessity — Sinhala orthography and morphology make lexical term-matching an unreliable proxy for semantic relevance — while remaining alert to the documented risk that the retriever itself, not just the generator, may be a weak link when applied to Sinhala rather than to the high-resource languages on which most dense encoders were validated.</w:t>
      </w:r>
    </w:p>
    <w:p>
      <w:pPr>
        <w:pStyle w:val="Heading2"/>
        <w:spacing w:after="240" w:before="360" w:line="360" w:lineRule="auto"/>
      </w:pPr>
      <w:r>
        <w:rPr>
          <w:rFonts w:ascii="Times New Roman" w:cs="Times New Roman" w:eastAsia="Times New Roman" w:hAnsi="Times New Roman"/>
          <w:b/>
          <w:bCs/>
          <w:color w:val="000000"/>
          <w:sz w:val="26"/>
          <w:szCs w:val="26"/>
        </w:rPr>
        <w:t xml:space="preserve">2.4 RAG Variants, Architectural Optimizations and Configuration Sensitivity</w:t>
      </w:r>
    </w:p>
    <w:p>
      <w:pPr>
        <w:spacing w:after="240" w:line="360" w:lineRule="auto"/>
        <w:jc w:val="left"/>
      </w:pPr>
      <w:r>
        <w:rPr>
          <w:rFonts w:ascii="Times New Roman" w:cs="Times New Roman" w:eastAsia="Times New Roman" w:hAnsi="Times New Roman"/>
          <w:i w:val="false"/>
          <w:iCs w:val="false"/>
          <w:sz w:val="24"/>
          <w:szCs w:val="24"/>
        </w:rPr>
        <w:t xml:space="preserve">Since Lewis et al.'s (2020) original formulation, a substantial body of work has proposed architectural refinements to the basic retrieve-then-generate pipeline. Fusion-in-Decoder (Izacard and Grave, 2021) processes each retrieved passage independently in the encoder before fusing their representations in the decoder, allowing the model to draw on a larger number of passages than would be tractable under a single concatenated context window. RETRO (Borgeaud et al., 2022) integrates retrieval directly into the pre-training process itself, conditioning next-token prediction on retrieved chunks from a corpus of trillions of tokens and showing that a comparatively small parametric model can match the performance of much larger purely parametric ones. Atlas (Izacard et al., 2022) extends this further by jointly training the retriever and generator, demonstrating strong few-shot performance on knowledge-intensive tasks with minimal labelled data. Self-RAG (Asai et al., 2023) departs from a fixed retrieve-then-generate schedule altogether, training the model to decide adaptively when retrieval is needed and to critique its own output against retrieved evidence using learned reflection tokens.</w:t>
      </w:r>
    </w:p>
    <w:p>
      <w:pPr>
        <w:spacing w:after="240" w:line="360" w:lineRule="auto"/>
        <w:jc w:val="left"/>
      </w:pPr>
      <w:r>
        <w:rPr>
          <w:rFonts w:ascii="Times New Roman" w:cs="Times New Roman" w:eastAsia="Times New Roman" w:hAnsi="Times New Roman"/>
          <w:i w:val="false"/>
          <w:iCs w:val="false"/>
          <w:sz w:val="24"/>
          <w:szCs w:val="24"/>
        </w:rPr>
        <w:t xml:space="preserve">Considered together, these variants trace a trajectory toward ever-tighter coupling between retrieval and generation, and toward giving the model more agency over when and how to use retrieved evidence. That trajectory, however, comes at a cost that is directly relevant to a small-scale academic project: each additional trainable component — a jointly trained retriever, a critique mechanism, reflection tokens — increases both the engineering complexity and the data required to train or fine-tune it. Opoku, Sheng and Zhang (2025) make this trade-off explicit in their domain-specific RAG framework, which layers a knowledge graph on top of standard retrieval to improve precision but requires substantially more upfront curation of structured relations than a purely passage-based pipeline. For a project such as the present one, built around a single school subject and a modest, hand-curated knowledge base, this suggests that the more elaborate architectural variants are unlikely to be proportionate; a well-tuned, standard retrieve-then-generate pipeline is a more defensible starting point than an attempt to replicate Self-RAG or Atlas at a much smaller scale.</w:t>
      </w:r>
    </w:p>
    <w:p>
      <w:pPr>
        <w:spacing w:after="240" w:line="360" w:lineRule="auto"/>
        <w:jc w:val="left"/>
      </w:pPr>
      <w:r>
        <w:rPr>
          <w:rFonts w:ascii="Times New Roman" w:cs="Times New Roman" w:eastAsia="Times New Roman" w:hAnsi="Times New Roman"/>
          <w:i w:val="false"/>
          <w:iCs w:val="false"/>
          <w:sz w:val="24"/>
          <w:szCs w:val="24"/>
        </w:rPr>
        <w:t xml:space="preserve">A second strand of literature examines configuration choices within a standard RAG pipeline that are easy to overlook but demonstrably consequential. Wang et al. (2024) survey a wide range of implementation decisions — retriever choice, number of passages retrieved, prompt format — and find that “best practice” varies by task in ways that resist a single universal recipe. Ammar et al. (2025) isolate hyperparameter sensitivity specifically, showing that seemingly minor settings, such as the number of retrieved passages or the similarity threshold applied to filter them, produce measurable swings in downstream accuracy. Chunking strategy — how source documents are segmented before embedding — is one of the most consequential of these decisions. Wang et al. (2025) show that document segmentation choices interact with both retriever type and task in ways that are difficult to predict a priori: chunking by paragraph preserves topical coherence but produces uneven passage lengths, fixed-window chunking guarantees uniform embedding input size but can split a single idea across two passages, and semantic-boundary chunking attempts to segment at natural topic shifts but depends on a secondary model to detect those boundaries reliably.</w:t>
      </w:r>
    </w:p>
    <w:p>
      <w:pPr>
        <w:spacing w:after="240" w:line="360" w:lineRule="auto"/>
        <w:jc w:val="left"/>
      </w:pPr>
      <w:r>
        <w:rPr>
          <w:rFonts w:ascii="Times New Roman" w:cs="Times New Roman" w:eastAsia="Times New Roman" w:hAnsi="Times New Roman"/>
          <w:i w:val="false"/>
          <w:iCs w:val="false"/>
          <w:sz w:val="24"/>
          <w:szCs w:val="24"/>
        </w:rPr>
        <w:t xml:space="preserve">Embedding model choice interacts with all of the above. Multilingual-E5 and BGE-M3, the two encoders proposed for the present study, were both trained on large-scale multilingual corpora, yet neither guarantees uniform performance across the languages it nominally covers. Omotoso et al. (2025) show that BGE-M3's out-of-the-box multilingual embeddings under-serve Nigerian low-resource languages relative to its headline benchmark performance, and only recover competitive retrieval accuracy after targeted contrastive fine-tuning on in-language data. Zhang et al.'s (2026) ML-Embed and Ponwitayarat et al.'s (2025) SEA-BED benchmark both make a related point from the evaluation side: multilingual embedding leaderboards, dominated by high-resource language pairs, systematically overstate how well an encoder will perform on an under-represented regional language until that language is tested directly. Luo et al. (2026) offer one adaptive response to this uncertainty, proposing domain-specific retrieval enhanced by knowledge-distillation-based re-ranking rather than assuming any off-the-shelf embedding model is adequate as supplied.</w:t>
      </w:r>
    </w:p>
    <w:p>
      <w:pPr>
        <w:spacing w:after="240" w:line="360" w:lineRule="auto"/>
        <w:jc w:val="left"/>
      </w:pPr>
      <w:r>
        <w:rPr>
          <w:rFonts w:ascii="Times New Roman" w:cs="Times New Roman" w:eastAsia="Times New Roman" w:hAnsi="Times New Roman"/>
          <w:i w:val="false"/>
          <w:iCs w:val="false"/>
          <w:sz w:val="24"/>
          <w:szCs w:val="24"/>
        </w:rPr>
        <w:t xml:space="preserve">This matters because none of the chunking or embedding literature reviewed above was validated on Sinhala, and the consistent finding that off-the-shelf multilingual performance is a poor proxy for true low-resource performance is precisely why the present study treats embedding model and chunking strategy as empirical questions — addressed under RQ2 — rather than settled choices to be made by default.</w:t>
      </w:r>
    </w:p>
    <w:p>
      <w:pPr>
        <w:pStyle w:val="Heading2"/>
        <w:spacing w:after="240" w:before="360" w:line="360" w:lineRule="auto"/>
      </w:pPr>
      <w:r>
        <w:rPr>
          <w:rFonts w:ascii="Times New Roman" w:cs="Times New Roman" w:eastAsia="Times New Roman" w:hAnsi="Times New Roman"/>
          <w:b/>
          <w:bCs/>
          <w:color w:val="000000"/>
          <w:sz w:val="26"/>
          <w:szCs w:val="26"/>
        </w:rPr>
        <w:t xml:space="preserve">2.5 Cross-Lingual NLP and the Digital Language Divide</w:t>
      </w:r>
    </w:p>
    <w:p>
      <w:pPr>
        <w:spacing w:after="240" w:line="360" w:lineRule="auto"/>
        <w:jc w:val="left"/>
      </w:pPr>
      <w:r>
        <w:rPr>
          <w:rFonts w:ascii="Times New Roman" w:cs="Times New Roman" w:eastAsia="Times New Roman" w:hAnsi="Times New Roman"/>
          <w:i w:val="false"/>
          <w:iCs w:val="false"/>
          <w:sz w:val="24"/>
          <w:szCs w:val="24"/>
        </w:rPr>
        <w:t xml:space="preserve">The gap identified in section 2.4 — that multilingual benchmarks overstate true low-resource performance — is not specific to embeddings; it recurs throughout cross-lingual NLP more broadly and has come to be described as a digital language divide. Multilingual encoder models such as multilingual BERT and XLM-R were trained on corpora in which resource allocation across languages is highly skewed, typically following the availability of web text and encyclopaedic content, which favours a small set of high-resource languages disproportionately. The consequence, documented across a range of tasks, is that models nominally described as multilingual perform markedly better on the languages that dominated their pre-training mixture than on languages that were thinly represented, even when both are technically covered by the model's vocabulary.</w:t>
      </w:r>
    </w:p>
    <w:p>
      <w:pPr>
        <w:spacing w:after="240" w:line="360" w:lineRule="auto"/>
        <w:jc w:val="left"/>
      </w:pPr>
      <w:r>
        <w:rPr>
          <w:rFonts w:ascii="Times New Roman" w:cs="Times New Roman" w:eastAsia="Times New Roman" w:hAnsi="Times New Roman"/>
          <w:i w:val="false"/>
          <w:iCs w:val="false"/>
          <w:sz w:val="24"/>
          <w:szCs w:val="24"/>
        </w:rPr>
        <w:t xml:space="preserve">Retrieval tasks make this divide especially visible because they require precise semantic alignment between query and passage representations, rather than the somewhat more forgiving generation of fluent text. Litschko et al. (2022) evaluate cross-lingual retrieval using multilingual text encoders and find substantial variance in transfer quality depending on the typological distance between the source and target languages, with performance degrading further for language pairs that were weakly represented during pre-training. Zuo et al. (2025) extend this evaluation to large language models used directly as retrievers or rerankers, and report that even the most capable general-purpose LLMs available at the time of writing show inconsistent cross-lingual retrieval accuracy, undermining any assumption that scale alone resolves the divide. Li et al. (2025) and Liu et al. (2026) both attempt post-training interventions — targeted multilingual adaptation and cross-lingual consistency training, respectively — and report gains, but neither claims to close the gap to high-resource-language performance entirely. Guo et al. (2024) take a different approach again, using structured textbook content itself as a prompting resource to improve low-resource machine translation, an approach that is conceptually adjacent to using curriculum material as a grounding resource, as the present study does, rather than as raw translation training data.</w:t>
      </w:r>
    </w:p>
    <w:p>
      <w:pPr>
        <w:spacing w:after="240" w:line="360" w:lineRule="auto"/>
        <w:jc w:val="left"/>
      </w:pPr>
      <w:r>
        <w:rPr>
          <w:rFonts w:ascii="Times New Roman" w:cs="Times New Roman" w:eastAsia="Times New Roman" w:hAnsi="Times New Roman"/>
          <w:i w:val="false"/>
          <w:iCs w:val="false"/>
          <w:sz w:val="24"/>
          <w:szCs w:val="24"/>
        </w:rPr>
        <w:t xml:space="preserve">Within this broader landscape, DR-RAG (Ahmad et al., 2026) is the closest existing analogue to the present research and merits closer attention. Ahmad et al. (2026) address retrieval misalignment specifically in Urdu question answering, a language that, like Sinhala, is written in a non-Latin script, is morphologically rich relative to English, and is comparatively under-represented in the training corpora of mainstream multilingual embedding models. Their solution — indexing LLM-generated question-answer pairs alongside raw passages, so that retrieval can match a user's query against a semantically closer artificial question rather than only against denser prose — directly reduced retrieval misalignment in their Urdu evaluation set. Sinhala and Urdu are not from the same language family, and any parallel drawn between them must be treated as suggestive rather than direct evidence, but both languages share the property that stresses dense retrieval systems: agglutinative and inflectional morphology that produces many surface forms for a single lexical concept, coupled with limited high-quality in-language data for encoder fine-tuning. Ahmad et al.'s (2026) dual-representation strategy is precisely the mechanism proposed as an optional, stretch component of the present study's design, tested under RQ3.</w:t>
      </w:r>
    </w:p>
    <w:p>
      <w:pPr>
        <w:spacing w:after="240" w:line="360" w:lineRule="auto"/>
        <w:jc w:val="left"/>
      </w:pPr>
      <w:r>
        <w:rPr>
          <w:rFonts w:ascii="Times New Roman" w:cs="Times New Roman" w:eastAsia="Times New Roman" w:hAnsi="Times New Roman"/>
          <w:i w:val="false"/>
          <w:iCs w:val="false"/>
          <w:sz w:val="24"/>
          <w:szCs w:val="24"/>
        </w:rPr>
        <w:t xml:space="preserve">This matters because DR-RAG demonstrates that a technique developed for one morphologically rich, low-resource, non-Latin-script language transferred successfully within its own evaluation, which offers a reasoned, literature-grounded basis for testing an analogous approach on Sinhala — while making clear that this transfer has not previously been tested on Sinhala, or on any South Asian language used in a formal education context.</w:t>
      </w:r>
    </w:p>
    <w:p>
      <w:pPr>
        <w:pStyle w:val="Heading2"/>
        <w:spacing w:after="240" w:before="360" w:line="360" w:lineRule="auto"/>
      </w:pPr>
      <w:r>
        <w:rPr>
          <w:rFonts w:ascii="Times New Roman" w:cs="Times New Roman" w:eastAsia="Times New Roman" w:hAnsi="Times New Roman"/>
          <w:b/>
          <w:bCs/>
          <w:color w:val="000000"/>
          <w:sz w:val="26"/>
          <w:szCs w:val="26"/>
        </w:rPr>
        <w:t xml:space="preserve">2.6 Sinhala Natural Language Processing: State of the Art and Its Limits</w:t>
      </w:r>
    </w:p>
    <w:p>
      <w:pPr>
        <w:spacing w:after="240" w:line="360" w:lineRule="auto"/>
        <w:jc w:val="left"/>
      </w:pPr>
      <w:r>
        <w:rPr>
          <w:rFonts w:ascii="Times New Roman" w:cs="Times New Roman" w:eastAsia="Times New Roman" w:hAnsi="Times New Roman"/>
          <w:i w:val="false"/>
          <w:iCs w:val="false"/>
          <w:sz w:val="24"/>
          <w:szCs w:val="24"/>
        </w:rPr>
        <w:t xml:space="preserve">Direct NLP research on Sinhala remains sparse relative to most other languages spoken by comparable or smaller populations, and the resources that do exist have needed to solve basic infrastructural problems before more advanced applications, such as retrieval-augmented generation, could even be attempted. Tokenization is the most persistent of these problems. Mainstream subword tokenizers, trained predominantly on Latin-script and high-resource-language corpora, segment Sinhala script inefficiently, often splitting single characters or syllables into multiple tokens in ways that inflate sequence length and degrade downstream model quality (Aravinda et al., 2025; Jayakody and Dias, 2024). Both SinLlama (Aravinda et al., 2025) and the Sinhala encoder-only models evaluated by Ranasinghe et al. (2025) were developed specifically to address this bottleneck, using Sinhala-specific vocabulary construction and pre-training rather than adapting a multilingual tokenizer post hoc.</w:t>
      </w:r>
    </w:p>
    <w:p>
      <w:pPr>
        <w:spacing w:after="240" w:line="360" w:lineRule="auto"/>
        <w:jc w:val="left"/>
      </w:pPr>
      <w:r>
        <w:rPr>
          <w:rFonts w:ascii="Times New Roman" w:cs="Times New Roman" w:eastAsia="Times New Roman" w:hAnsi="Times New Roman"/>
          <w:i w:val="false"/>
          <w:iCs w:val="false"/>
          <w:sz w:val="24"/>
          <w:szCs w:val="24"/>
        </w:rPr>
        <w:t xml:space="preserve">These efforts have produced genuine progress. SinLlama demonstrates that a large language model can be adapted to Sinhala more effectively through targeted vocabulary and continued pre-training than by relying on a general multilingual model's incidental Sinhala coverage, while Ranasinghe et al.'s (2025) encoder-only models establish a stronger baseline for Sinhala representation-learning tasks than prior general-purpose multilingual encoders. On the evaluation side, SinhalaMMLU (Pramodya et al., 2025) provides the first large-scale, multitask benchmark for measuring Sinhala language understanding across a wide range of subject domains, filling a gap left by benchmarks that were designed with English in mind and only partially translated or adapted elsewhere. Its central finding — that current models, including strong proprietary ones, continue to underperform on Sinhala relative to English across nearly every subject tested — provides an empirical anchor for the claims of the hallucination literature reviewed in section 2.1. Jayakody and Dias (2024), working from a comparative angle, report that Claude and GPT-4o perform reasonably well on Sinhala-language tasks without additional fine-tuning, relative to older or smaller models, which offers a cautiously more optimistic counterpoint and is one reason both are considered viable generator models for the present study.</w:t>
      </w:r>
    </w:p>
    <w:p>
      <w:pPr>
        <w:spacing w:after="240" w:line="360" w:lineRule="auto"/>
        <w:jc w:val="left"/>
      </w:pPr>
      <w:r>
        <w:rPr>
          <w:rFonts w:ascii="Times New Roman" w:cs="Times New Roman" w:eastAsia="Times New Roman" w:hAnsi="Times New Roman"/>
          <w:i w:val="false"/>
          <w:iCs w:val="false"/>
          <w:sz w:val="24"/>
          <w:szCs w:val="24"/>
        </w:rPr>
        <w:t xml:space="preserve">What none of this literature provides, however, is a retrieval-augmented system grounded in Sinhala content, still less one grounded in a specific school curriculum. SinLlama and the Sinhala encoder-only models are language-modelling and representation-learning contributions; SinhalaMMLU is an evaluation benchmark; Jayakody and Dias's (2024) study is a comparative capability assessment. None of the three couples a Sinhala-competent model with an external, verifiable knowledge base, and none is applied to an educational use case. The gap is not merely that Sinhala RAG is under-studied in general — it is that, at the time of writing, it appears not to have been studied at all.</w:t>
      </w:r>
    </w:p>
    <w:p>
      <w:pPr>
        <w:spacing w:after="240" w:line="360" w:lineRule="auto"/>
        <w:jc w:val="left"/>
      </w:pPr>
      <w:r>
        <w:rPr>
          <w:rFonts w:ascii="Times New Roman" w:cs="Times New Roman" w:eastAsia="Times New Roman" w:hAnsi="Times New Roman"/>
          <w:i w:val="false"/>
          <w:iCs w:val="false"/>
          <w:sz w:val="24"/>
          <w:szCs w:val="24"/>
        </w:rPr>
        <w:t xml:space="preserve">This matters because the present research cannot draw on a body of prior Sinhala RAG work to validate design choices; it must instead adapt findings from adjacent literatures — general RAG optimization (section 2.4), cross-lingual retrieval (section 2.5) and Sinhala language modelling (this section) — and test them empirically, since none of the existing Sinhala NLP literature has yet done so in a retrieval-augmented or curriculum-grounded setting.</w:t>
      </w:r>
    </w:p>
    <w:p>
      <w:pPr>
        <w:pStyle w:val="Heading2"/>
        <w:spacing w:after="240" w:before="360" w:line="360" w:lineRule="auto"/>
      </w:pPr>
      <w:r>
        <w:rPr>
          <w:rFonts w:ascii="Times New Roman" w:cs="Times New Roman" w:eastAsia="Times New Roman" w:hAnsi="Times New Roman"/>
          <w:b/>
          <w:bCs/>
          <w:color w:val="000000"/>
          <w:sz w:val="26"/>
          <w:szCs w:val="26"/>
        </w:rPr>
        <w:t xml:space="preserve">2.7 Retrieval-Augmented Generation in Education</w:t>
      </w:r>
    </w:p>
    <w:p>
      <w:pPr>
        <w:spacing w:after="240" w:line="360" w:lineRule="auto"/>
        <w:jc w:val="left"/>
      </w:pPr>
      <w:r>
        <w:rPr>
          <w:rFonts w:ascii="Times New Roman" w:cs="Times New Roman" w:eastAsia="Times New Roman" w:hAnsi="Times New Roman"/>
          <w:i w:val="false"/>
          <w:iCs w:val="false"/>
          <w:sz w:val="24"/>
          <w:szCs w:val="24"/>
        </w:rPr>
        <w:t xml:space="preserve">Beyond the language-specific gap identified above, a second and largely independent gap exists in the application of RAG to education specifically. Kasneci et al. (2023) provide one of the most widely cited overviews of large language models in educational settings, cataloguing both the opportunities — personalised tutoring, rapid feedback, accessible explanation at a learner's own pace — and the risks, chief among them the difficulty learners face in verifying the correctness of AI-generated content in a domain where, definitionally, they are still building expertise. Their analysis is largely architecture-agnostic, however, addressing general-purpose LLM use in education rather than retrieval-grounded systems specifically, and does not examine language coverage as a variable.</w:t>
      </w:r>
    </w:p>
    <w:p>
      <w:pPr>
        <w:spacing w:after="240" w:line="360" w:lineRule="auto"/>
        <w:jc w:val="left"/>
      </w:pPr>
      <w:r>
        <w:rPr>
          <w:rFonts w:ascii="Times New Roman" w:cs="Times New Roman" w:eastAsia="Times New Roman" w:hAnsi="Times New Roman"/>
          <w:i w:val="false"/>
          <w:iCs w:val="false"/>
          <w:sz w:val="24"/>
          <w:szCs w:val="24"/>
        </w:rPr>
        <w:t xml:space="preserve">Where RAG has been applied to education directly, the applications so far have clustered around STEM subjects in high-resource languages. Levonian et al. (2023) built a retrieval-grounded tutoring system for mathematics question answering and explicitly frame their central design tension as a trade-off between groundedness — strict adherence to verified source material — and human preference, since students in their study sometimes rated a fluent but less strictly grounded answer as more helpful than a stiffly sourced one. This finding is a useful caution for the present research: faithfulness to a knowledge base and perceived answer quality are not the same construct, and optimising narrowly for one risks producing a system that is faithful but pedagogically unhelpful, or vice versa. Lu and Li (2025) extend educational RAG into a different STEM register, coupling retrieval with a code interpreter so that a system can both retrieve relevant conceptual material and execute logical or numerical computation, an architecture suited to quantitative subjects but not obviously transferable to a discursive, largely qualitative subject such as Business Studies.</w:t>
      </w:r>
    </w:p>
    <w:p>
      <w:pPr>
        <w:spacing w:after="240" w:line="360" w:lineRule="auto"/>
        <w:jc w:val="left"/>
      </w:pPr>
      <w:r>
        <w:rPr>
          <w:rFonts w:ascii="Times New Roman" w:cs="Times New Roman" w:eastAsia="Times New Roman" w:hAnsi="Times New Roman"/>
          <w:i w:val="false"/>
          <w:iCs w:val="false"/>
          <w:sz w:val="24"/>
          <w:szCs w:val="24"/>
        </w:rPr>
        <w:t xml:space="preserve">What is conspicuously absent from this literature is any RAG-based educational application situated in South Asia, in a national curriculum context, or in a low-resource-language classroom. Levonian et al. (2023) and Lu and Li (2025) both work in English and in STEM domains where a substantial body of prior training data, benchmark tasks and evaluation tooling already exists. Business Studies, by contrast, is a qualitative, terminology- and case-study-driven subject examined in Sinhala at secondary level within the Sri Lankan national curriculum — a combination of subject type, language and educational level for which zero RAG studies could be identified in the literature reviewed for this dissertation.</w:t>
      </w:r>
    </w:p>
    <w:p>
      <w:pPr>
        <w:spacing w:after="240" w:line="360" w:lineRule="auto"/>
        <w:jc w:val="left"/>
      </w:pPr>
      <w:r>
        <w:rPr>
          <w:rFonts w:ascii="Times New Roman" w:cs="Times New Roman" w:eastAsia="Times New Roman" w:hAnsi="Times New Roman"/>
          <w:i w:val="false"/>
          <w:iCs w:val="false"/>
          <w:sz w:val="24"/>
          <w:szCs w:val="24"/>
        </w:rPr>
        <w:t xml:space="preserve">This matters because the present research is not simply transplanting an established RAG-for-education recipe into a new language; it is testing whether design lessons drawn from English-medium, STEM-focused educational RAG systems — particularly Levonian et al.'s (2023) groundedness-versus-preference trade-off — generalise to a qualitative subject taught in a low-resource language, a combination the existing literature has not yet examined.</w:t>
      </w:r>
    </w:p>
    <w:p>
      <w:pPr>
        <w:pStyle w:val="Heading2"/>
        <w:spacing w:after="240" w:before="360" w:line="360" w:lineRule="auto"/>
      </w:pPr>
      <w:r>
        <w:rPr>
          <w:rFonts w:ascii="Times New Roman" w:cs="Times New Roman" w:eastAsia="Times New Roman" w:hAnsi="Times New Roman"/>
          <w:b/>
          <w:bCs/>
          <w:color w:val="000000"/>
          <w:sz w:val="26"/>
          <w:szCs w:val="26"/>
        </w:rPr>
        <w:t xml:space="preserve">2.8 Evaluation Frameworks for Retrieval-Augmented Generation</w:t>
      </w:r>
    </w:p>
    <w:p>
      <w:pPr>
        <w:spacing w:after="240" w:line="360" w:lineRule="auto"/>
        <w:jc w:val="left"/>
      </w:pPr>
      <w:r>
        <w:rPr>
          <w:rFonts w:ascii="Times New Roman" w:cs="Times New Roman" w:eastAsia="Times New Roman" w:hAnsi="Times New Roman"/>
          <w:i w:val="false"/>
          <w:iCs w:val="false"/>
          <w:sz w:val="24"/>
          <w:szCs w:val="24"/>
        </w:rPr>
        <w:t xml:space="preserve">Evaluating a RAG system introduces methodological demands beyond those of evaluating a standalone language model, because performance depends jointly on retrieval quality and generation quality, and a failure in either component can produce a poor final answer. RAGAS (Es et al., 2024) was developed specifically to address this joint evaluation problem, providing a set of automated, LLM-judged metrics — including faithfulness, which measures whether a generated answer is actually supported by the retrieved context, and answer relevancy, which measures whether the answer addresses the question actually asked — that can be computed without requiring human-annotated reference answers for every metric. Its principal appeal for a project of this scale is that it allows a large evaluation set to be scored automatically and repeatedly across multiple system configurations, which would be prohibitively time-consuming if every comparison required fresh human judgement.</w:t>
      </w:r>
    </w:p>
    <w:p>
      <w:pPr>
        <w:spacing w:after="240" w:line="360" w:lineRule="auto"/>
        <w:jc w:val="left"/>
      </w:pPr>
      <w:r>
        <w:rPr>
          <w:rFonts w:ascii="Times New Roman" w:cs="Times New Roman" w:eastAsia="Times New Roman" w:hAnsi="Times New Roman"/>
          <w:i w:val="false"/>
          <w:iCs w:val="false"/>
          <w:sz w:val="24"/>
          <w:szCs w:val="24"/>
        </w:rPr>
        <w:t xml:space="preserve">That efficiency, however, carries a specific risk in the present context: RAGAS's faithfulness and relevancy scores are themselves produced by an LLM acting as judge, and the hallucination literature reviewed in sections 2.1 and 2.2 gives direct reason to doubt that an LLM judging Sinhala output performs as reliably as one judging English output. Trivedi et al. (2026) and Pramodya et al.'s (2025) SinhalaMMLU findings both indicate that model competence in Sinhala lags competence in English, and an evaluator model is not exempt from this weakness merely because its role has shifted from generator to judge. Relying on RAGAS scores alone would therefore risk validating the RAG system against a metric that is itself compromised by the same low-resource weakness the system is trying to correct for.</w:t>
      </w:r>
    </w:p>
    <w:p>
      <w:pPr>
        <w:spacing w:after="240" w:line="360" w:lineRule="auto"/>
        <w:jc w:val="left"/>
      </w:pPr>
      <w:r>
        <w:rPr>
          <w:rFonts w:ascii="Times New Roman" w:cs="Times New Roman" w:eastAsia="Times New Roman" w:hAnsi="Times New Roman"/>
          <w:i w:val="false"/>
          <w:iCs w:val="false"/>
          <w:sz w:val="24"/>
          <w:szCs w:val="24"/>
        </w:rPr>
        <w:t xml:space="preserve">The methodological response to this risk, consistent with practice in other domains where automated metrics are treated with appropriate scepticism, is independent human validation. Domain-expert teachers rating a blinded, randomised subsample of system outputs on a simple rubric provide a check that does not depend on an LLM's own Sinhala competence. Where multiple raters are used, as is planned for the present study, the reliability of their agreement is itself a quantity that must be reported rather than assumed, which is the role played by Cohen's kappa (Cohen, 1960): a chance-corrected measure of inter-rater agreement that is more informative than raw percentage agreement, particularly on a rating scale where raters might agree by chance alone on the more common middle categories. Comparing the resulting human ratings across paired conditions — the same question answered by the RAG system and by each baseline — calls for a statistical test appropriate to paired, ordinal or non-normally distributed data; the Wilcoxon signed-rank test (Wilcoxon, 1945) is the standard choice in this situation, since it does not assume the normality that a paired t-test requires, though the latter remains an appropriate fallback if the score distributions are shown to be approximately normal.</w:t>
      </w:r>
    </w:p>
    <w:p>
      <w:pPr>
        <w:spacing w:after="240" w:line="360" w:lineRule="auto"/>
        <w:jc w:val="left"/>
      </w:pPr>
      <w:r>
        <w:rPr>
          <w:rFonts w:ascii="Times New Roman" w:cs="Times New Roman" w:eastAsia="Times New Roman" w:hAnsi="Times New Roman"/>
          <w:i w:val="false"/>
          <w:iCs w:val="false"/>
          <w:sz w:val="24"/>
          <w:szCs w:val="24"/>
        </w:rPr>
        <w:t xml:space="preserve">This matters because the evaluation design of the present study is not a routine application of an off-the-shelf metric suite; it is a deliberate two-tier structure — automated RAGAS scoring cross-checked against blinded human rating, reconciled statistically via Cohen's kappa and the Wilcoxon signed-rank test — adopted specifically because the literature gives concrete reason to distrust automated LLM-based evaluation of Sinhala on its own.</w:t>
      </w:r>
    </w:p>
    <w:p>
      <w:pPr>
        <w:pStyle w:val="Heading2"/>
        <w:spacing w:after="240" w:before="360" w:line="360" w:lineRule="auto"/>
      </w:pPr>
      <w:r>
        <w:rPr>
          <w:rFonts w:ascii="Times New Roman" w:cs="Times New Roman" w:eastAsia="Times New Roman" w:hAnsi="Times New Roman"/>
          <w:b/>
          <w:bCs/>
          <w:color w:val="000000"/>
          <w:sz w:val="26"/>
          <w:szCs w:val="26"/>
        </w:rPr>
        <w:t xml:space="preserve">2.9 Research Gap and Contribution</w:t>
      </w:r>
    </w:p>
    <w:p>
      <w:pPr>
        <w:spacing w:after="240" w:line="360" w:lineRule="auto"/>
        <w:jc w:val="left"/>
      </w:pPr>
      <w:r>
        <w:rPr>
          <w:rFonts w:ascii="Times New Roman" w:cs="Times New Roman" w:eastAsia="Times New Roman" w:hAnsi="Times New Roman"/>
          <w:i w:val="false"/>
          <w:iCs w:val="false"/>
          <w:sz w:val="24"/>
          <w:szCs w:val="24"/>
        </w:rPr>
        <w:t xml:space="preserve">Drawing the preceding eight sections together, three distinct gaps emerge, and each is a gap in the literature rather than merely a gap in this researcher's own reading of it. First, at the level of hallucination and RAG theory, the literature establishes convincingly that hallucination is worse for low-resource languages (Alansari and Luqman, 2026; Trivedi et al., 2026) and that RAG is an effective, though imperfect, mitigation (Lewis et al., 2020), but almost none of the empirical evaluation of RAG architectures, chunking strategies or embedding models has been conducted on a South Asian, non-Latin-script, morphologically rich language; DR-RAG's application to Urdu (Ahmad et al., 2026) is the single closest precedent, and even that has not been tested on Sinhala. Second, at the level of language-specific NLP, Sinhala now has a growing but still narrow set of foundational resources — SinLlama (Aravinda et al., 2025), Sinhala encoder-only models (Ranasinghe et al., 2025), and the SinhalaMMLU benchmark (Pramodya et al., 2025) — yet none of these couples a Sinhala-competent model with an external, verifiable knowledge base, and none has been applied to a retrieval-augmented pipeline of any kind. Third, at the level of application domain, existing educational RAG systems (Levonian et al., 2023; Lu and Li, 2025) are confined to English-medium, STEM-oriented use cases, leaving South Asian secondary education, and qualitative subjects such as Business Studies specifically, entirely unaddressed.</w:t>
      </w:r>
    </w:p>
    <w:p>
      <w:pPr>
        <w:spacing w:after="240" w:line="360" w:lineRule="auto"/>
        <w:jc w:val="left"/>
      </w:pPr>
      <w:r>
        <w:rPr>
          <w:rFonts w:ascii="Times New Roman" w:cs="Times New Roman" w:eastAsia="Times New Roman" w:hAnsi="Times New Roman"/>
          <w:i w:val="false"/>
          <w:iCs w:val="false"/>
          <w:sz w:val="24"/>
          <w:szCs w:val="24"/>
        </w:rPr>
        <w:t xml:space="preserve">These three gaps are not independent of one another; they compound. A researcher could, in principle, address the first gap by testing RAG configuration choices on a low-resource language other than Sinhala, or address the third by building an educational RAG system in a high-resource language. What has not previously been done is to hold all three constant simultaneously: a retrieval-augmented architecture, evaluated empirically rather than assumed to work by default, built specifically around Sinhala, and grounded in a verified secondary-level school curriculum rather than generic web or encyclopaedic content.</w:t>
      </w:r>
    </w:p>
    <w:p>
      <w:pPr>
        <w:spacing w:after="240" w:line="360" w:lineRule="auto"/>
        <w:jc w:val="left"/>
      </w:pPr>
      <w:r>
        <w:rPr>
          <w:rFonts w:ascii="Times New Roman" w:cs="Times New Roman" w:eastAsia="Times New Roman" w:hAnsi="Times New Roman"/>
          <w:i w:val="false"/>
          <w:iCs w:val="false"/>
          <w:sz w:val="24"/>
          <w:szCs w:val="24"/>
        </w:rPr>
        <w:t xml:space="preserve">The present research is positioned to close this compound gap directly. It contributes, first, an empirical test of whether grounding in verified Sinhala O/L Business Studies content reduces hallucination and increases faithfulness relative to an ungrounded baseline, addressing the theoretical gap identified in sections 2.1 through 2.4 for the specific case of Sinhala. It contributes, second, a comparative evaluation of multilingual-E5 and BGE-M3 embeddings alongside multiple chunking strategies on Sinhala educational text, addressing the absence of Sinhala-specific validation noted throughout section 2.4 and section 2.6's review of Sinhala NLP resources. It contributes, third, what appears to be the first application of a retrieval-augmented architecture to South Asian secondary education in general and to Sinhala-medium Business Studies specifically, directly answering the gap identified in section 2.7. Finally, by combining automated RAGAS metrics with blinded human validation from domain-expert teachers, reconciled through Cohen's kappa and the Wilcoxon signed-rank test, the evaluation methodology itself responds to the specific concern, raised in section 2.8, that automated Sinhala evaluation cannot yet be trusted without an independent human check.</w:t>
      </w:r>
    </w:p>
    <w:p>
      <w:pPr>
        <w:spacing w:after="240" w:line="360" w:lineRule="auto"/>
        <w:jc w:val="left"/>
      </w:pPr>
      <w:r>
        <w:rPr>
          <w:rFonts w:ascii="Times New Roman" w:cs="Times New Roman" w:eastAsia="Times New Roman" w:hAnsi="Times New Roman"/>
          <w:i w:val="false"/>
          <w:iCs w:val="false"/>
          <w:sz w:val="24"/>
          <w:szCs w:val="24"/>
        </w:rPr>
        <w:t xml:space="preserve">This matters because it is the combination of these contributions — not any single one in isolation — that constitutes the originality of the present study: the individual components (RAG, Sinhala NLP, and educational LLM evaluation) each have a literature of their own, but their intersection, at the time of writing, does not.</w:t>
      </w:r>
    </w:p>
    <w:p>
      <w:pPr>
        <w:pStyle w:val="Heading2"/>
        <w:spacing w:after="240" w:before="480" w:line="240" w:lineRule="auto"/>
      </w:pPr>
      <w:r>
        <w:rPr>
          <w:rFonts w:ascii="Times New Roman" w:cs="Times New Roman" w:eastAsia="Times New Roman" w:hAnsi="Times New Roman"/>
          <w:b/>
          <w:bCs/>
          <w:color w:val="000000"/>
          <w:sz w:val="26"/>
          <w:szCs w:val="26"/>
        </w:rPr>
        <w:t xml:space="preserve">References (Chapter 2)</w:t>
      </w:r>
    </w:p>
    <w:p>
      <w:pPr>
        <w:spacing w:after="160" w:line="240" w:lineRule="auto"/>
        <w:ind w:left="720" w:hanging="720"/>
        <w:jc w:val="left"/>
      </w:pPr>
      <w:r>
        <w:rPr>
          <w:rFonts w:ascii="Times New Roman" w:cs="Times New Roman" w:eastAsia="Times New Roman" w:hAnsi="Times New Roman"/>
          <w:sz w:val="24"/>
          <w:szCs w:val="24"/>
        </w:rPr>
        <w:t xml:space="preserve">Ahmad, S., Hammad, M., Zeeshan, M., Ullah, F. and Karim, A. (2026) 'DR-RAG: Addressing retrieval misalignment in low-resource Urdu question answering', in Proceedings of the 2nd Workshop on Challenges in Processing South Asian Languages (CHiPSAL) @ LREC, pp. 49–58.</w:t>
      </w:r>
    </w:p>
    <w:p>
      <w:pPr>
        <w:spacing w:after="160" w:line="240" w:lineRule="auto"/>
        <w:ind w:left="720" w:hanging="720"/>
        <w:jc w:val="left"/>
      </w:pPr>
      <w:r>
        <w:rPr>
          <w:rFonts w:ascii="Times New Roman" w:cs="Times New Roman" w:eastAsia="Times New Roman" w:hAnsi="Times New Roman"/>
          <w:sz w:val="24"/>
          <w:szCs w:val="24"/>
        </w:rPr>
        <w:t xml:space="preserve">Alansari, A. and Luqman, H. (2026) 'Large language models hallucination: A comprehensive survey', Computer Science Review, 61, art. 100970.</w:t>
      </w:r>
    </w:p>
    <w:p>
      <w:pPr>
        <w:spacing w:after="160" w:line="240" w:lineRule="auto"/>
        <w:ind w:left="720" w:hanging="720"/>
        <w:jc w:val="left"/>
      </w:pPr>
      <w:r>
        <w:rPr>
          <w:rFonts w:ascii="Times New Roman" w:cs="Times New Roman" w:eastAsia="Times New Roman" w:hAnsi="Times New Roman"/>
          <w:sz w:val="24"/>
          <w:szCs w:val="24"/>
        </w:rPr>
        <w:t xml:space="preserve">Ammar, A., Koubaa, A., Nacar, O. and Boulila, W. (2025) 'Optimizing retrieval-augmented generation: Analysis of hyperparameter impact on performance and efficiency', arXiv preprint arXiv:2505.08445.</w:t>
      </w:r>
    </w:p>
    <w:p>
      <w:pPr>
        <w:spacing w:after="160" w:line="240" w:lineRule="auto"/>
        <w:ind w:left="720" w:hanging="720"/>
        <w:jc w:val="left"/>
      </w:pPr>
      <w:r>
        <w:rPr>
          <w:rFonts w:ascii="Times New Roman" w:cs="Times New Roman" w:eastAsia="Times New Roman" w:hAnsi="Times New Roman"/>
          <w:sz w:val="24"/>
          <w:szCs w:val="24"/>
        </w:rPr>
        <w:t xml:space="preserve">Aravinda, H.W.K., Sirajudeen, R., Karunathilake, S., de Silva, N., Kaur, R., Bhankhar, A.S. and Ranathunga, S. (2025) 'SinLlama: A large language model for Sinhala', arXiv preprint arXiv:2508.09115.</w:t>
      </w:r>
    </w:p>
    <w:p>
      <w:pPr>
        <w:spacing w:after="160" w:line="240" w:lineRule="auto"/>
        <w:ind w:left="720" w:hanging="720"/>
        <w:jc w:val="left"/>
      </w:pPr>
      <w:r>
        <w:rPr>
          <w:rFonts w:ascii="Times New Roman" w:cs="Times New Roman" w:eastAsia="Times New Roman" w:hAnsi="Times New Roman"/>
          <w:sz w:val="24"/>
          <w:szCs w:val="24"/>
        </w:rPr>
        <w:t xml:space="preserve">Asai, A., Wu, Z., Wang, Y., Sil, A. and Hajishirzi, H. (2023) 'Self-RAG: Learning to retrieve, generate, and critique through self-reflection', arXiv preprint arXiv:2310.11511.</w:t>
      </w:r>
    </w:p>
    <w:p>
      <w:pPr>
        <w:spacing w:after="160" w:line="240" w:lineRule="auto"/>
        <w:ind w:left="720" w:hanging="720"/>
        <w:jc w:val="left"/>
      </w:pPr>
      <w:r>
        <w:rPr>
          <w:rFonts w:ascii="Times New Roman" w:cs="Times New Roman" w:eastAsia="Times New Roman" w:hAnsi="Times New Roman"/>
          <w:sz w:val="24"/>
          <w:szCs w:val="24"/>
        </w:rPr>
        <w:t xml:space="preserve">Bender, E.M., Gebru, T., McMillan-Major, A. and Shmitchell, S. (2021) 'On the dangers of stochastic parrots: Can language models be too big?', in Proceedings of the 2021 ACM Conference on Fairness, Accountability, and Transparency (FAccT '21). New York: Association for Computing Machinery, pp. 610–623.</w:t>
      </w:r>
    </w:p>
    <w:p>
      <w:pPr>
        <w:spacing w:after="160" w:line="240" w:lineRule="auto"/>
        <w:ind w:left="720" w:hanging="720"/>
        <w:jc w:val="left"/>
      </w:pPr>
      <w:r>
        <w:rPr>
          <w:rFonts w:ascii="Times New Roman" w:cs="Times New Roman" w:eastAsia="Times New Roman" w:hAnsi="Times New Roman"/>
          <w:sz w:val="24"/>
          <w:szCs w:val="24"/>
        </w:rPr>
        <w:t xml:space="preserve">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w:t>
      </w:r>
    </w:p>
    <w:p>
      <w:pPr>
        <w:spacing w:after="160" w:line="240" w:lineRule="auto"/>
        <w:ind w:left="720" w:hanging="720"/>
        <w:jc w:val="left"/>
      </w:pPr>
      <w:r>
        <w:rPr>
          <w:rFonts w:ascii="Times New Roman" w:cs="Times New Roman" w:eastAsia="Times New Roman" w:hAnsi="Times New Roman"/>
          <w:sz w:val="24"/>
          <w:szCs w:val="24"/>
        </w:rPr>
        <w:t xml:space="preserve">Borgeaud, S., Mensch, A., Hoffmann, J., Cai, T., Rutherford, E., Millican, K. et al. (2022) 'Improving language models by retrieving from trillions of tokens', in Proceedings of the 39th International Conference on Machine Learning (ICML), PMLR 162.</w:t>
      </w:r>
    </w:p>
    <w:p>
      <w:pPr>
        <w:spacing w:after="160" w:line="240" w:lineRule="auto"/>
        <w:ind w:left="720" w:hanging="720"/>
        <w:jc w:val="left"/>
      </w:pPr>
      <w:r>
        <w:rPr>
          <w:rFonts w:ascii="Times New Roman" w:cs="Times New Roman" w:eastAsia="Times New Roman" w:hAnsi="Times New Roman"/>
          <w:sz w:val="24"/>
          <w:szCs w:val="24"/>
        </w:rPr>
        <w:t xml:space="preserve">Cohen, J. (1960) 'A coefficient of agreement for nominal scales', Educational and Psychological Measurement, 20(1), pp. 37–46.</w:t>
      </w:r>
    </w:p>
    <w:p>
      <w:pPr>
        <w:spacing w:after="160" w:line="240" w:lineRule="auto"/>
        <w:ind w:left="720" w:hanging="720"/>
        <w:jc w:val="left"/>
      </w:pPr>
      <w:r>
        <w:rPr>
          <w:rFonts w:ascii="Times New Roman" w:cs="Times New Roman" w:eastAsia="Times New Roman" w:hAnsi="Times New Roman"/>
          <w:sz w:val="24"/>
          <w:szCs w:val="24"/>
        </w:rPr>
        <w:t xml:space="preserve">Datta, D., Chilukuri, M.K., Kumar, Y., Ghosh, S. and Zafar, M.B. (2026) 'Do LLM hallucination detectors suffer from low-resource effect?', in Proceedings of the 18th Conference of the European Chapter of the Association for Computational Linguistics (EACL).</w:t>
      </w:r>
    </w:p>
    <w:p>
      <w:pPr>
        <w:spacing w:after="160" w:line="240" w:lineRule="auto"/>
        <w:ind w:left="720" w:hanging="720"/>
        <w:jc w:val="left"/>
      </w:pPr>
      <w:r>
        <w:rPr>
          <w:rFonts w:ascii="Times New Roman" w:cs="Times New Roman" w:eastAsia="Times New Roman" w:hAnsi="Times New Roman"/>
          <w:sz w:val="24"/>
          <w:szCs w:val="24"/>
        </w:rPr>
        <w:t xml:space="preserve">Es, S., James, J., Espinosa-Anke, L. and Schockaert, S. (2024) 'RAGAs: Automated evaluation of retrieval augmented generation', in Proceedings of the 18th Conference of the European Chapter of the Association for Computational Linguistics: System Demonstrations, pp. 150–158.</w:t>
      </w:r>
    </w:p>
    <w:p>
      <w:pPr>
        <w:spacing w:after="160" w:line="240" w:lineRule="auto"/>
        <w:ind w:left="720" w:hanging="720"/>
        <w:jc w:val="left"/>
      </w:pPr>
      <w:r>
        <w:rPr>
          <w:rFonts w:ascii="Times New Roman" w:cs="Times New Roman" w:eastAsia="Times New Roman" w:hAnsi="Times New Roman"/>
          <w:sz w:val="24"/>
          <w:szCs w:val="24"/>
        </w:rPr>
        <w:t xml:space="preserve">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pPr>
        <w:spacing w:after="160" w:line="240" w:lineRule="auto"/>
        <w:ind w:left="720" w:hanging="720"/>
        <w:jc w:val="left"/>
      </w:pPr>
      <w:r>
        <w:rPr>
          <w:rFonts w:ascii="Times New Roman" w:cs="Times New Roman" w:eastAsia="Times New Roman" w:hAnsi="Times New Roman"/>
          <w:sz w:val="24"/>
          <w:szCs w:val="24"/>
        </w:rPr>
        <w:t xml:space="preserve">Huang, L., Yu, W., Ma, W., Zhong, W., Feng, Z., Wang, H. et al. (2025) 'A survey on hallucination in large language models: Principles, taxonomy, challenges, and open questions', ACM Transactions on Information Systems, 43(2), art. 3155.</w:t>
      </w:r>
    </w:p>
    <w:p>
      <w:pPr>
        <w:spacing w:after="160" w:line="240" w:lineRule="auto"/>
        <w:ind w:left="720" w:hanging="720"/>
        <w:jc w:val="left"/>
      </w:pPr>
      <w:r>
        <w:rPr>
          <w:rFonts w:ascii="Times New Roman" w:cs="Times New Roman" w:eastAsia="Times New Roman" w:hAnsi="Times New Roman"/>
          <w:sz w:val="24"/>
          <w:szCs w:val="24"/>
        </w:rPr>
        <w:t xml:space="preserve">Izacard, G. and Grave, E. (2021) 'Leveraging passage retrieval with generative models for open domain question answering', in Proceedings of the 16th Conference of the European Chapter of the Association for Computational Linguistics (EACL), pp. 874–880.</w:t>
      </w:r>
    </w:p>
    <w:p>
      <w:pPr>
        <w:spacing w:after="160" w:line="240" w:lineRule="auto"/>
        <w:ind w:left="720" w:hanging="720"/>
        <w:jc w:val="left"/>
      </w:pPr>
      <w:r>
        <w:rPr>
          <w:rFonts w:ascii="Times New Roman" w:cs="Times New Roman" w:eastAsia="Times New Roman" w:hAnsi="Times New Roman"/>
          <w:sz w:val="24"/>
          <w:szCs w:val="24"/>
        </w:rPr>
        <w:t xml:space="preserve">Izacard, G., Lewis, P., Lomeli, M., Hosseini, L., Petroni, F., Schick, T., Dwivedi-Yu, J., Joulin, A., Riedel, S. and Grave, E. (2022) 'Atlas: Few-shot learning with retrieval augmented language models', arXiv preprint arXiv:2208.03299.</w:t>
      </w:r>
    </w:p>
    <w:p>
      <w:pPr>
        <w:spacing w:after="160" w:line="240" w:lineRule="auto"/>
        <w:ind w:left="720" w:hanging="720"/>
        <w:jc w:val="left"/>
      </w:pPr>
      <w:r>
        <w:rPr>
          <w:rFonts w:ascii="Times New Roman" w:cs="Times New Roman" w:eastAsia="Times New Roman" w:hAnsi="Times New Roman"/>
          <w:sz w:val="24"/>
          <w:szCs w:val="24"/>
        </w:rPr>
        <w:t xml:space="preserve">Jayakody, R. and Dias, G. (2024) 'Performance of recent large language models for a low-resourced language', in Proceedings of the 2024 International Conference on Asian Language Processing (IALP), pp. 162–167.</w:t>
      </w:r>
    </w:p>
    <w:p>
      <w:pPr>
        <w:spacing w:after="160" w:line="240" w:lineRule="auto"/>
        <w:ind w:left="720" w:hanging="720"/>
        <w:jc w:val="left"/>
      </w:pPr>
      <w:r>
        <w:rPr>
          <w:rFonts w:ascii="Times New Roman" w:cs="Times New Roman" w:eastAsia="Times New Roman" w:hAnsi="Times New Roman"/>
          <w:sz w:val="24"/>
          <w:szCs w:val="24"/>
        </w:rPr>
        <w:t xml:space="preserve">Ji, Z., Lee, N., Frieske, R., Yu, T., Su, D., Xu, Y., Ishii, E., Bang, Y.J., Madotto, A. and Fung, P. (2023) 'Survey of hallucination in natural language generation', ACM Computing Surveys, 55(12), art. 248.</w:t>
      </w:r>
    </w:p>
    <w:p>
      <w:pPr>
        <w:spacing w:after="160" w:line="240" w:lineRule="auto"/>
        <w:ind w:left="720" w:hanging="720"/>
        <w:jc w:val="left"/>
      </w:pPr>
      <w:r>
        <w:rPr>
          <w:rFonts w:ascii="Times New Roman" w:cs="Times New Roman" w:eastAsia="Times New Roman" w:hAnsi="Times New Roman"/>
          <w:sz w:val="24"/>
          <w:szCs w:val="24"/>
        </w:rPr>
        <w:t xml:space="preserve">Kasneci, E., Seßler, K., Küchemann, S., Bannert, M., Dementieva, D., Fischer, F. et al. (2023) 'ChatGPT for good? On opportunities and challenges of large language models for education', Learning and Individual Differences, 103, art. 102274.</w:t>
      </w:r>
    </w:p>
    <w:p>
      <w:pPr>
        <w:spacing w:after="160" w:line="240" w:lineRule="auto"/>
        <w:ind w:left="720" w:hanging="720"/>
        <w:jc w:val="left"/>
      </w:pPr>
      <w:r>
        <w:rPr>
          <w:rFonts w:ascii="Times New Roman" w:cs="Times New Roman" w:eastAsia="Times New Roman" w:hAnsi="Times New Roman"/>
          <w:sz w:val="24"/>
          <w:szCs w:val="24"/>
        </w:rPr>
        <w:t xml:space="preserve">Levonian, Z., Li, C., Zhu, W., Gade, A., Henkel, O., Postle, M.-E. and Xing, W. (2023) 'Retrieval-augmented generation to improve math question-answering: Trade-offs between groundedness and human preference', in Proceedings of the NeurIPS'23 Workshop on Generative AI for Education (GAIED).</w:t>
      </w:r>
    </w:p>
    <w:p>
      <w:pPr>
        <w:spacing w:after="160" w:line="240" w:lineRule="auto"/>
        <w:ind w:left="720" w:hanging="720"/>
        <w:jc w:val="left"/>
      </w:pPr>
      <w:r>
        <w:rPr>
          <w:rFonts w:ascii="Times New Roman" w:cs="Times New Roman" w:eastAsia="Times New Roman" w:hAnsi="Times New Roman"/>
          <w:sz w:val="24"/>
          <w:szCs w:val="24"/>
        </w:rPr>
        <w:t xml:space="preserve">Li, H., Zhang, H., Li, M., Wang, Y., Wen, L., Zhang, Y. and Huang, B. (2025) 'Toward robust multilingual adaptation of LLMs for low-resource languages', arXiv preprint arXiv:2510.14466.</w:t>
      </w:r>
    </w:p>
    <w:p>
      <w:pPr>
        <w:spacing w:after="160" w:line="240" w:lineRule="auto"/>
        <w:ind w:left="720" w:hanging="720"/>
        <w:jc w:val="left"/>
      </w:pPr>
      <w:r>
        <w:rPr>
          <w:rFonts w:ascii="Times New Roman" w:cs="Times New Roman" w:eastAsia="Times New Roman" w:hAnsi="Times New Roman"/>
          <w:sz w:val="24"/>
          <w:szCs w:val="24"/>
        </w:rPr>
        <w:t xml:space="preserve">Litschko, R., Vulić, I., Ponzetto, S.P. and Glavaš, G. (2022) 'On cross-lingual retrieval with multilingual text encoders', Information Retrieval Journal, 25(2).</w:t>
      </w:r>
    </w:p>
    <w:p>
      <w:pPr>
        <w:spacing w:after="160" w:line="240" w:lineRule="auto"/>
        <w:ind w:left="720" w:hanging="720"/>
        <w:jc w:val="left"/>
      </w:pPr>
      <w:r>
        <w:rPr>
          <w:rFonts w:ascii="Times New Roman" w:cs="Times New Roman" w:eastAsia="Times New Roman" w:hAnsi="Times New Roman"/>
          <w:sz w:val="24"/>
          <w:szCs w:val="24"/>
        </w:rPr>
        <w:t xml:space="preserve">Liu, T., Qi, J., Sachan, M., Cotterell, R., Fernández, R. and Bisazza, A. (2026) 'Post-training language models for crosslingual consistency', arXiv preprint arXiv:2603.04678.</w:t>
      </w:r>
    </w:p>
    <w:p>
      <w:pPr>
        <w:spacing w:after="160" w:line="240" w:lineRule="auto"/>
        <w:ind w:left="720" w:hanging="720"/>
        <w:jc w:val="left"/>
      </w:pPr>
      <w:r>
        <w:rPr>
          <w:rFonts w:ascii="Times New Roman" w:cs="Times New Roman" w:eastAsia="Times New Roman" w:hAnsi="Times New Roman"/>
          <w:sz w:val="24"/>
          <w:szCs w:val="24"/>
        </w:rPr>
        <w:t xml:space="preserve">Lu, J. and Li, J. (2025) 'A novel framework for educational Q&amp;A: Leveraging RAG and code interpreters for knowledge retrieval and logical computation', PLOS ONE.</w:t>
      </w:r>
    </w:p>
    <w:p>
      <w:pPr>
        <w:spacing w:after="160" w:line="240" w:lineRule="auto"/>
        <w:ind w:left="720" w:hanging="720"/>
        <w:jc w:val="left"/>
      </w:pPr>
      <w:r>
        <w:rPr>
          <w:rFonts w:ascii="Times New Roman" w:cs="Times New Roman" w:eastAsia="Times New Roman" w:hAnsi="Times New Roman"/>
          <w:sz w:val="24"/>
          <w:szCs w:val="24"/>
        </w:rPr>
        <w:t xml:space="preserve">Luo, H., Luo, X., Zhao, W., Peng, Q., Chen, K., Liu, Y. and Du, C. (2026) 'Domain-specific retrieval-augmented generation with adaptive embedding and knowledge distillation-based re-ranking', Processes, 14(1).</w:t>
      </w:r>
    </w:p>
    <w:p>
      <w:pPr>
        <w:spacing w:after="160" w:line="240" w:lineRule="auto"/>
        <w:ind w:left="720" w:hanging="720"/>
        <w:jc w:val="left"/>
      </w:pPr>
      <w:r>
        <w:rPr>
          <w:rFonts w:ascii="Times New Roman" w:cs="Times New Roman" w:eastAsia="Times New Roman" w:hAnsi="Times New Roman"/>
          <w:sz w:val="24"/>
          <w:szCs w:val="24"/>
        </w:rPr>
        <w:t xml:space="preserve">Omotoso, A., Shopeju, H., Joshua, A. and Oni, S. (2025) 'Improving BGE-M3 multilingual dense embeddings for Nigerian low resource languages', in Proceedings of the Widening NLP Workshop (WiNLP).</w:t>
      </w:r>
    </w:p>
    <w:p>
      <w:pPr>
        <w:spacing w:after="160" w:line="240" w:lineRule="auto"/>
        <w:ind w:left="720" w:hanging="720"/>
        <w:jc w:val="left"/>
      </w:pPr>
      <w:r>
        <w:rPr>
          <w:rFonts w:ascii="Times New Roman" w:cs="Times New Roman" w:eastAsia="Times New Roman" w:hAnsi="Times New Roman"/>
          <w:sz w:val="24"/>
          <w:szCs w:val="24"/>
        </w:rPr>
        <w:t xml:space="preserve">Opoku, D.O., Sheng, M. and Zhang, Y. (2025) 'DO-RAG: A domain-specific QA framework using knowledge graph-enhanced retrieval-augmented generation', arXiv preprint arXiv:2505.17058.</w:t>
      </w:r>
    </w:p>
    <w:p>
      <w:pPr>
        <w:spacing w:after="160" w:line="240" w:lineRule="auto"/>
        <w:ind w:left="720" w:hanging="720"/>
        <w:jc w:val="left"/>
      </w:pPr>
      <w:r>
        <w:rPr>
          <w:rFonts w:ascii="Times New Roman" w:cs="Times New Roman" w:eastAsia="Times New Roman" w:hAnsi="Times New Roman"/>
          <w:sz w:val="24"/>
          <w:szCs w:val="24"/>
        </w:rPr>
        <w:t xml:space="preserve">Ponwitayarat, W., Ng, R., Montalan, J.R., Aung, T. et al. (2025) 'SEA-BED: Southeast Asia embedding benchmark', Association for Computational Linguistics.</w:t>
      </w:r>
    </w:p>
    <w:p>
      <w:pPr>
        <w:spacing w:after="160" w:line="240" w:lineRule="auto"/>
        <w:ind w:left="720" w:hanging="720"/>
        <w:jc w:val="left"/>
      </w:pPr>
      <w:r>
        <w:rPr>
          <w:rFonts w:ascii="Times New Roman" w:cs="Times New Roman" w:eastAsia="Times New Roman" w:hAnsi="Times New Roman"/>
          <w:sz w:val="24"/>
          <w:szCs w:val="24"/>
        </w:rPr>
        <w:t xml:space="preserve">Pramodya, A., Nelki, N., Shalinda, H., Liyanage, C., Sakai, Y., Pushpananda, R., Weerasinghe, R., Kamigaito, H. and Watanabe, T. (2025) 'SinhalaMMLU: A comprehensive benchmark for evaluating multitask language understanding in Sinhala', in Proceedings of the 2025 Conference on Empirical Methods in Natural Language Processing (EMNLP).</w:t>
      </w:r>
    </w:p>
    <w:p>
      <w:pPr>
        <w:spacing w:after="160" w:line="240" w:lineRule="auto"/>
        <w:ind w:left="720" w:hanging="720"/>
        <w:jc w:val="left"/>
      </w:pPr>
      <w:r>
        <w:rPr>
          <w:rFonts w:ascii="Times New Roman" w:cs="Times New Roman" w:eastAsia="Times New Roman" w:hAnsi="Times New Roman"/>
          <w:sz w:val="24"/>
          <w:szCs w:val="24"/>
        </w:rPr>
        <w:t xml:space="preserve">Ranasinghe, T., Hettiarachchi, H., Pathirana, N., Premasiri, D., Uyangodage, L., Anuradha, I., Plum, A., Rayson, P. and Mitkov, R. (2025) 'Sinhala encoder-only language models and evaluation', in Proceedings of the 63rd Annual Meeting of the Association for Computational Linguistics (ACL).</w:t>
      </w:r>
    </w:p>
    <w:p>
      <w:pPr>
        <w:spacing w:after="160" w:line="240" w:lineRule="auto"/>
        <w:ind w:left="720" w:hanging="720"/>
        <w:jc w:val="left"/>
      </w:pPr>
      <w:r>
        <w:rPr>
          <w:rFonts w:ascii="Times New Roman" w:cs="Times New Roman" w:eastAsia="Times New Roman" w:hAnsi="Times New Roman"/>
          <w:sz w:val="24"/>
          <w:szCs w:val="24"/>
        </w:rPr>
        <w:t xml:space="preserve">Trivedi, K., Shaikh, M., Sharma, S. et al. (2026) '“So, how much do LLMs hallucinate on low-resource languages?” A quantitative and qualitative analysis', in Proceedings of the Workshop on Language Models for Low-Resource Languages (LoResLM).</w:t>
      </w:r>
    </w:p>
    <w:p>
      <w:pPr>
        <w:spacing w:after="160" w:line="240" w:lineRule="auto"/>
        <w:ind w:left="720" w:hanging="720"/>
        <w:jc w:val="left"/>
      </w:pPr>
      <w:r>
        <w:rPr>
          <w:rFonts w:ascii="Times New Roman" w:cs="Times New Roman" w:eastAsia="Times New Roman" w:hAnsi="Times New Roman"/>
          <w:sz w:val="24"/>
          <w:szCs w:val="24"/>
        </w:rPr>
        <w:t xml:space="preserve">Wang, X., Wang, Z., Gao, X., Zhang, F., Wu, Y., Xu, Z., Shi, T., Wang, Z., Li, S., Qian, Q., Yin, R., Lv, C., Zheng, X. and Huang, X. (2024) 'Searching for best practices in retrieval-augmented generation', in Proceedings of the 2024 Conference on Empirical Methods in Natural Language Processing (EMNLP), pp. 17716–17736.</w:t>
      </w:r>
    </w:p>
    <w:p>
      <w:pPr>
        <w:spacing w:after="160" w:line="240" w:lineRule="auto"/>
        <w:ind w:left="720" w:hanging="720"/>
        <w:jc w:val="left"/>
      </w:pPr>
      <w:r>
        <w:rPr>
          <w:rFonts w:ascii="Times New Roman" w:cs="Times New Roman" w:eastAsia="Times New Roman" w:hAnsi="Times New Roman"/>
          <w:sz w:val="24"/>
          <w:szCs w:val="24"/>
        </w:rPr>
        <w:t xml:space="preserve">Wang, Z., Gao, C., Xiao, C., Huang, Y., Si, S., Luo, K., Bai, Y., Li, W., Duan, T., Lv, C., Lu, G., Chen, G., Qi, F. and Sun, M. (2025) 'Document segmentation matters for retrieval-augmented generation', in Findings of the Association for Computational Linguistics: ACL 2025.</w:t>
      </w:r>
    </w:p>
    <w:p>
      <w:pPr>
        <w:spacing w:after="160" w:line="240" w:lineRule="auto"/>
        <w:ind w:left="720" w:hanging="720"/>
        <w:jc w:val="left"/>
      </w:pPr>
      <w:r>
        <w:rPr>
          <w:rFonts w:ascii="Times New Roman" w:cs="Times New Roman" w:eastAsia="Times New Roman" w:hAnsi="Times New Roman"/>
          <w:sz w:val="24"/>
          <w:szCs w:val="24"/>
        </w:rPr>
        <w:t xml:space="preserve">Wilcoxon, F. (1945) 'Individual comparisons by ranking methods', Biometrics Bulletin, 1(6), pp. 80–83.</w:t>
      </w:r>
    </w:p>
    <w:p>
      <w:pPr>
        <w:spacing w:after="160" w:line="240" w:lineRule="auto"/>
        <w:ind w:left="720" w:hanging="720"/>
        <w:jc w:val="left"/>
      </w:pPr>
      <w:r>
        <w:rPr>
          <w:rFonts w:ascii="Times New Roman" w:cs="Times New Roman" w:eastAsia="Times New Roman" w:hAnsi="Times New Roman"/>
          <w:sz w:val="24"/>
          <w:szCs w:val="24"/>
        </w:rPr>
        <w:t xml:space="preserve">Zhang, X., Thakur, N., Ogundepo, O., Kamalloo, E., Alfonso-Hermelo, D., Li, X., Liu, Q., Rezagholizadeh, M. and Lin, J. (2023) 'MIRACL: A multilingual retrieval dataset covering 18 diverse languages', Transactions of the Association for Computational Linguistics, 11.</w:t>
      </w:r>
    </w:p>
    <w:p>
      <w:pPr>
        <w:spacing w:after="160" w:line="240" w:lineRule="auto"/>
        <w:ind w:left="720" w:hanging="720"/>
        <w:jc w:val="left"/>
      </w:pPr>
      <w:r>
        <w:rPr>
          <w:rFonts w:ascii="Times New Roman" w:cs="Times New Roman" w:eastAsia="Times New Roman" w:hAnsi="Times New Roman"/>
          <w:sz w:val="24"/>
          <w:szCs w:val="24"/>
        </w:rPr>
        <w:t xml:space="preserve">Zhang, X., Ma, X., Shi, P. and Lin, J. (2021) 'Mr. TyDi: A multi-lingual benchmark for dense retrieval', in Proceedings of the 1st Workshop on Multilingual Representation Learning (MRL).</w:t>
      </w:r>
    </w:p>
    <w:p>
      <w:pPr>
        <w:spacing w:after="160" w:line="240" w:lineRule="auto"/>
        <w:ind w:left="720" w:hanging="720"/>
        <w:jc w:val="left"/>
      </w:pPr>
      <w:r>
        <w:rPr>
          <w:rFonts w:ascii="Times New Roman" w:cs="Times New Roman" w:eastAsia="Times New Roman" w:hAnsi="Times New Roman"/>
          <w:sz w:val="24"/>
          <w:szCs w:val="24"/>
        </w:rPr>
        <w:t xml:space="preserve">Zhang, Z., Liao, Z., Yu, H., Di, P. and Wang, R. (2026) 'ML-Embed: Inclusive and efficient embeddings for a multilingual world', arXiv preprint arXiv:2605.15081.</w:t>
      </w:r>
    </w:p>
    <w:p>
      <w:pPr>
        <w:spacing w:after="160" w:line="240" w:lineRule="auto"/>
        <w:ind w:left="720" w:hanging="720"/>
        <w:jc w:val="left"/>
      </w:pPr>
      <w:r>
        <w:rPr>
          <w:rFonts w:ascii="Times New Roman" w:cs="Times New Roman" w:eastAsia="Times New Roman" w:hAnsi="Times New Roman"/>
          <w:sz w:val="24"/>
          <w:szCs w:val="24"/>
        </w:rPr>
        <w:t xml:space="preserve">Zuo, L., Hong, P., Kraus, O., Plank, B. and Litschko, R. (2025) 'Evaluating large language models for cross-lingual retrieval', in Findings of the Association for Computational Linguistics: EMNLP 2025, pp. 11415–11429.</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20"/>
        <w:szCs w:val="20"/>
      </w:rPr>
      <w:t xml:space="preserve">M.A.A.T. Perera (S25021960)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MSc Computing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A RAG Architecture for Low-Resource Languages: Sinhala Business Education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2026-07-26T03:46:13.733Z</dcterms:created>
  <dcterms:modified xsi:type="dcterms:W3CDTF">2026-07-26T03:46:13.735Z</dcterms:modified>
</cp:coreProperties>
</file>

<file path=docProps/custom.xml><?xml version="1.0" encoding="utf-8"?>
<Properties xmlns="http://schemas.openxmlformats.org/officeDocument/2006/custom-properties" xmlns:vt="http://schemas.openxmlformats.org/officeDocument/2006/docPropsVTypes"/>
</file>