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3055"/>
        <w:gridCol w:w="7430"/>
      </w:tblGrid>
      <w:tr w:rsidR="001855A5" w14:paraId="17BC2600" w14:textId="77777777" w:rsidTr="00C60877">
        <w:trPr>
          <w:trHeight w:val="272"/>
        </w:trPr>
        <w:tc>
          <w:tcPr>
            <w:tcW w:w="3055" w:type="dxa"/>
            <w:vMerge w:val="restart"/>
          </w:tcPr>
          <w:p w14:paraId="7BFD8290" w14:textId="77777777" w:rsidR="001855A5" w:rsidRPr="00536771" w:rsidRDefault="001855A5" w:rsidP="00517116">
            <w:r>
              <w:rPr>
                <w:sz w:val="40"/>
              </w:rPr>
              <w:t>Zhipeng Li</w:t>
            </w:r>
          </w:p>
        </w:tc>
        <w:tc>
          <w:tcPr>
            <w:tcW w:w="7430" w:type="dxa"/>
          </w:tcPr>
          <w:p w14:paraId="4786C18D" w14:textId="66CD0E7A" w:rsidR="001855A5" w:rsidRPr="00536771" w:rsidRDefault="0003284D" w:rsidP="00517116">
            <w:pPr>
              <w:pStyle w:val="TableParagraph"/>
              <w:spacing w:line="288" w:lineRule="auto"/>
              <w:ind w:right="200"/>
              <w:jc w:val="right"/>
            </w:pPr>
            <w:r w:rsidRPr="0003284D">
              <w:t xml:space="preserve">Bellamy </w:t>
            </w:r>
            <w:proofErr w:type="spellStart"/>
            <w:r w:rsidRPr="0003284D">
              <w:t>Bldg</w:t>
            </w:r>
            <w:proofErr w:type="spellEnd"/>
            <w:r w:rsidRPr="0003284D">
              <w:t>, 113 Collegiate Loop, Tallahassee, FL 32306</w:t>
            </w:r>
          </w:p>
        </w:tc>
      </w:tr>
      <w:tr w:rsidR="001855A5" w14:paraId="3A4879A1" w14:textId="77777777" w:rsidTr="00C60877">
        <w:trPr>
          <w:trHeight w:val="305"/>
        </w:trPr>
        <w:tc>
          <w:tcPr>
            <w:tcW w:w="3055" w:type="dxa"/>
            <w:vMerge/>
          </w:tcPr>
          <w:p w14:paraId="280A976E" w14:textId="77777777" w:rsidR="001855A5" w:rsidRDefault="001855A5" w:rsidP="00517116">
            <w:pPr>
              <w:spacing w:line="288" w:lineRule="auto"/>
              <w:rPr>
                <w:sz w:val="2"/>
                <w:szCs w:val="2"/>
              </w:rPr>
            </w:pPr>
          </w:p>
        </w:tc>
        <w:tc>
          <w:tcPr>
            <w:tcW w:w="7430" w:type="dxa"/>
          </w:tcPr>
          <w:p w14:paraId="3960311A" w14:textId="11BD0336" w:rsidR="001855A5" w:rsidRDefault="00983556" w:rsidP="00C60877">
            <w:pPr>
              <w:pStyle w:val="TableParagraph"/>
              <w:spacing w:line="288" w:lineRule="auto"/>
              <w:ind w:left="0" w:right="310"/>
              <w:jc w:val="right"/>
              <w:rPr>
                <w:lang w:eastAsia="zh-CN"/>
              </w:rPr>
            </w:pPr>
            <w:r>
              <w:t>Tel: +01 623-223-3107</w:t>
            </w:r>
          </w:p>
        </w:tc>
      </w:tr>
      <w:tr w:rsidR="001855A5" w14:paraId="7E21FE89" w14:textId="77777777" w:rsidTr="00C60877">
        <w:trPr>
          <w:trHeight w:val="300"/>
        </w:trPr>
        <w:tc>
          <w:tcPr>
            <w:tcW w:w="3055" w:type="dxa"/>
          </w:tcPr>
          <w:p w14:paraId="096EDE66" w14:textId="7E86377A" w:rsidR="001855A5" w:rsidRDefault="001855A5" w:rsidP="00517116">
            <w:pPr>
              <w:pStyle w:val="TableParagraph"/>
              <w:spacing w:before="0" w:line="288" w:lineRule="auto"/>
              <w:ind w:left="0"/>
              <w:rPr>
                <w:rFonts w:eastAsiaTheme="minorEastAsia"/>
                <w:lang w:eastAsia="zh-CN"/>
              </w:rPr>
            </w:pPr>
            <w:r>
              <w:t xml:space="preserve">Email: </w:t>
            </w:r>
            <w:r w:rsidR="004F3AAE">
              <w:rPr>
                <w:lang w:eastAsia="zh-CN"/>
              </w:rPr>
              <w:t>zl25a</w:t>
            </w:r>
            <w:r>
              <w:rPr>
                <w:lang w:eastAsia="zh-CN"/>
              </w:rPr>
              <w:t>@</w:t>
            </w:r>
            <w:r w:rsidR="004F3AAE">
              <w:rPr>
                <w:lang w:eastAsia="zh-CN"/>
              </w:rPr>
              <w:t>f</w:t>
            </w:r>
            <w:r>
              <w:rPr>
                <w:lang w:eastAsia="zh-CN"/>
              </w:rPr>
              <w:t>su.edu</w:t>
            </w:r>
          </w:p>
        </w:tc>
        <w:tc>
          <w:tcPr>
            <w:tcW w:w="7430" w:type="dxa"/>
          </w:tcPr>
          <w:p w14:paraId="7D569869" w14:textId="7E0FFC38" w:rsidR="001855A5" w:rsidRDefault="001855A5" w:rsidP="00517116">
            <w:pPr>
              <w:pStyle w:val="TableParagraph"/>
              <w:spacing w:line="288" w:lineRule="auto"/>
              <w:ind w:left="0" w:right="198"/>
              <w:jc w:val="right"/>
            </w:pPr>
          </w:p>
        </w:tc>
      </w:tr>
    </w:tbl>
    <w:p w14:paraId="431501E1" w14:textId="77777777" w:rsidR="009772DC" w:rsidRDefault="009772DC"/>
    <w:p w14:paraId="1DD13DD9" w14:textId="4CAB30A5" w:rsidR="000D4A3C" w:rsidRDefault="00DC01E1">
      <w:pPr>
        <w:pStyle w:val="11"/>
        <w:spacing w:beforeLines="50" w:before="156"/>
        <w:rPr>
          <w:lang w:eastAsia="zh-CN"/>
        </w:rPr>
      </w:pPr>
      <w:r>
        <w:t>E</w:t>
      </w:r>
      <w:r w:rsidR="00547826">
        <w:rPr>
          <w:lang w:eastAsia="zh-CN"/>
        </w:rPr>
        <w:t>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0"/>
        <w:gridCol w:w="8206"/>
      </w:tblGrid>
      <w:tr w:rsidR="004F3AAE" w14:paraId="02CAE812" w14:textId="77777777" w:rsidTr="00E94B90">
        <w:tc>
          <w:tcPr>
            <w:tcW w:w="2250" w:type="dxa"/>
          </w:tcPr>
          <w:p w14:paraId="1A09BC66" w14:textId="74765DE8" w:rsidR="004F3AAE" w:rsidRPr="00E94B90" w:rsidRDefault="004F3AAE" w:rsidP="004F3AAE">
            <w:pPr>
              <w:spacing w:line="288" w:lineRule="auto"/>
              <w:rPr>
                <w:rFonts w:eastAsiaTheme="minorEastAsia"/>
                <w:lang w:eastAsia="zh-CN"/>
              </w:rPr>
            </w:pPr>
            <w:r w:rsidRPr="00E94B90">
              <w:rPr>
                <w:rFonts w:eastAsiaTheme="minorEastAsia"/>
                <w:lang w:eastAsia="zh-CN"/>
              </w:rPr>
              <w:t>Aug 202</w:t>
            </w:r>
            <w:r>
              <w:rPr>
                <w:rFonts w:eastAsiaTheme="minorEastAsia"/>
                <w:lang w:eastAsia="zh-CN"/>
              </w:rPr>
              <w:t>5</w:t>
            </w:r>
            <w:r w:rsidRPr="00E94B90">
              <w:rPr>
                <w:rFonts w:eastAsiaTheme="minorEastAsia"/>
                <w:lang w:eastAsia="zh-CN"/>
              </w:rPr>
              <w:t xml:space="preserve"> – </w:t>
            </w:r>
            <w:r>
              <w:rPr>
                <w:rFonts w:eastAsiaTheme="minorEastAsia"/>
                <w:lang w:eastAsia="zh-CN"/>
              </w:rPr>
              <w:t>Jun 2027</w:t>
            </w:r>
            <w:r w:rsidRPr="00E94B90">
              <w:rPr>
                <w:rFonts w:eastAsiaTheme="minorEastAsia"/>
                <w:lang w:eastAsia="zh-CN"/>
              </w:rPr>
              <w:t xml:space="preserve">   </w:t>
            </w:r>
          </w:p>
        </w:tc>
        <w:tc>
          <w:tcPr>
            <w:tcW w:w="8206" w:type="dxa"/>
          </w:tcPr>
          <w:p w14:paraId="27592DCC" w14:textId="62B1EFA3" w:rsidR="004F3AAE" w:rsidRDefault="004F3AAE" w:rsidP="004F3AAE">
            <w:pPr>
              <w:spacing w:line="288" w:lineRule="auto"/>
            </w:pPr>
            <w:r>
              <w:t>Ph.D. in Geography, Florida State University, USA</w:t>
            </w:r>
          </w:p>
          <w:p w14:paraId="028D538D" w14:textId="233EA22F" w:rsidR="004F3AAE" w:rsidRDefault="004F3AAE" w:rsidP="004F3AAE">
            <w:pPr>
              <w:spacing w:line="288" w:lineRule="auto"/>
            </w:pPr>
            <w:r>
              <w:rPr>
                <w:rFonts w:eastAsiaTheme="minorEastAsia"/>
                <w:lang w:eastAsia="zh-CN"/>
              </w:rPr>
              <w:t>Supervisor: Professor Stewart Fotheringham</w:t>
            </w:r>
          </w:p>
        </w:tc>
      </w:tr>
      <w:tr w:rsidR="004F3AAE" w14:paraId="3D07D1D2" w14:textId="77777777" w:rsidTr="00E94B90">
        <w:tc>
          <w:tcPr>
            <w:tcW w:w="2250" w:type="dxa"/>
          </w:tcPr>
          <w:p w14:paraId="4F338AD1" w14:textId="66E83B96" w:rsidR="004F3AAE" w:rsidRDefault="004F3AAE" w:rsidP="004F3AAE">
            <w:pPr>
              <w:spacing w:line="288" w:lineRule="auto"/>
              <w:rPr>
                <w:rFonts w:eastAsiaTheme="minorEastAsia"/>
                <w:lang w:eastAsia="zh-CN"/>
              </w:rPr>
            </w:pPr>
            <w:r w:rsidRPr="00E94B90">
              <w:rPr>
                <w:rFonts w:eastAsiaTheme="minorEastAsia"/>
                <w:lang w:eastAsia="zh-CN"/>
              </w:rPr>
              <w:t xml:space="preserve">Aug 2023 – </w:t>
            </w:r>
            <w:r>
              <w:rPr>
                <w:rFonts w:eastAsiaTheme="minorEastAsia"/>
                <w:lang w:eastAsia="zh-CN"/>
              </w:rPr>
              <w:t>Jun 2025</w:t>
            </w:r>
            <w:r w:rsidRPr="00E94B90">
              <w:rPr>
                <w:rFonts w:eastAsiaTheme="minorEastAsia"/>
                <w:lang w:eastAsia="zh-CN"/>
              </w:rPr>
              <w:t xml:space="preserve">   </w:t>
            </w:r>
          </w:p>
        </w:tc>
        <w:tc>
          <w:tcPr>
            <w:tcW w:w="8206" w:type="dxa"/>
          </w:tcPr>
          <w:p w14:paraId="54B3494B" w14:textId="77777777" w:rsidR="004F3AAE" w:rsidRDefault="004F3AAE" w:rsidP="004F3AAE">
            <w:pPr>
              <w:spacing w:line="288" w:lineRule="auto"/>
            </w:pPr>
            <w:r>
              <w:t>Ph.D. in Geography, Arizona State University, USA</w:t>
            </w:r>
          </w:p>
          <w:p w14:paraId="07615BB5" w14:textId="680514F2" w:rsidR="004F3AAE" w:rsidRPr="00E72BC8" w:rsidRDefault="004F3AAE" w:rsidP="004F3AAE">
            <w:pPr>
              <w:spacing w:line="288" w:lineRule="auto"/>
            </w:pPr>
            <w:r>
              <w:rPr>
                <w:rFonts w:eastAsiaTheme="minorEastAsia"/>
                <w:lang w:eastAsia="zh-CN"/>
              </w:rPr>
              <w:t>Supervisor: Professor Stewart Fotheringham</w:t>
            </w:r>
          </w:p>
        </w:tc>
      </w:tr>
      <w:tr w:rsidR="004F3AAE" w14:paraId="776A7D1D" w14:textId="77777777" w:rsidTr="00E94B90">
        <w:tc>
          <w:tcPr>
            <w:tcW w:w="2250" w:type="dxa"/>
          </w:tcPr>
          <w:p w14:paraId="186B2259" w14:textId="25F75CDA" w:rsidR="004F3AAE" w:rsidRDefault="004F3AAE" w:rsidP="004F3AAE">
            <w:pPr>
              <w:spacing w:line="288" w:lineRule="auto"/>
              <w:rPr>
                <w:rFonts w:eastAsiaTheme="minorEastAsia"/>
                <w:lang w:eastAsia="zh-CN"/>
              </w:rPr>
            </w:pPr>
            <w:r>
              <w:t>Sep 2020 – Jul 2023</w:t>
            </w:r>
          </w:p>
        </w:tc>
        <w:tc>
          <w:tcPr>
            <w:tcW w:w="8206" w:type="dxa"/>
          </w:tcPr>
          <w:p w14:paraId="2EC42441" w14:textId="14FBC352" w:rsidR="004F3AAE" w:rsidRPr="00E94B90" w:rsidRDefault="004F3AAE" w:rsidP="004F3AAE">
            <w:pPr>
              <w:spacing w:line="288" w:lineRule="auto"/>
              <w:rPr>
                <w:rFonts w:ascii="SimSun" w:eastAsia="SimSun" w:hAnsi="SimSun" w:cs="SimSun"/>
                <w:lang w:eastAsia="zh-CN"/>
              </w:rPr>
            </w:pPr>
            <w:r>
              <w:t>M.E. in Urban and Rural Planning, Tongji University</w:t>
            </w:r>
            <w:r>
              <w:rPr>
                <w:rFonts w:hint="eastAsia"/>
              </w:rPr>
              <w:t>,</w:t>
            </w:r>
            <w:r>
              <w:t xml:space="preserve"> China</w:t>
            </w:r>
          </w:p>
          <w:p w14:paraId="47D35345" w14:textId="77777777" w:rsidR="004F3AAE" w:rsidRDefault="004F3AAE" w:rsidP="004F3AAE">
            <w:pPr>
              <w:spacing w:line="288" w:lineRule="auto"/>
              <w:rPr>
                <w:rFonts w:eastAsiaTheme="minorEastAsia"/>
                <w:lang w:eastAsia="zh-CN"/>
              </w:rPr>
            </w:pPr>
            <w:r>
              <w:t xml:space="preserve">Thesis: </w:t>
            </w:r>
            <w:r>
              <w:rPr>
                <w:rFonts w:eastAsiaTheme="minorEastAsia"/>
                <w:lang w:eastAsia="zh-CN"/>
              </w:rPr>
              <w:t>Exploring Determinants and Mechanism of I</w:t>
            </w:r>
            <w:r>
              <w:rPr>
                <w:rFonts w:eastAsiaTheme="minorEastAsia" w:hint="eastAsia"/>
                <w:lang w:eastAsia="zh-CN"/>
              </w:rPr>
              <w:t>nter</w:t>
            </w:r>
            <w:r>
              <w:rPr>
                <w:rFonts w:eastAsiaTheme="minorEastAsia"/>
                <w:lang w:eastAsia="zh-CN"/>
              </w:rPr>
              <w:t>city Jobs-housing Spatial Relationship from Suzhou to Shanghai</w:t>
            </w:r>
          </w:p>
          <w:p w14:paraId="6111800E" w14:textId="42FB3715" w:rsidR="004F3AAE" w:rsidRPr="00E94B90" w:rsidRDefault="004F3AAE" w:rsidP="004F3AAE">
            <w:pPr>
              <w:spacing w:line="288" w:lineRule="auto"/>
            </w:pPr>
            <w:r>
              <w:rPr>
                <w:rFonts w:eastAsiaTheme="minorEastAsia"/>
                <w:lang w:eastAsia="zh-CN"/>
              </w:rPr>
              <w:t>Supervisor: Professor Xinyi Niu</w:t>
            </w:r>
          </w:p>
        </w:tc>
      </w:tr>
      <w:tr w:rsidR="004F3AAE" w14:paraId="57B7F1C4" w14:textId="77777777" w:rsidTr="00E94B90">
        <w:tc>
          <w:tcPr>
            <w:tcW w:w="2250" w:type="dxa"/>
          </w:tcPr>
          <w:p w14:paraId="6AEC3DCE" w14:textId="21DB1507" w:rsidR="004F3AAE" w:rsidRDefault="004F3AAE" w:rsidP="004F3AAE">
            <w:pPr>
              <w:spacing w:line="288" w:lineRule="auto"/>
              <w:rPr>
                <w:rFonts w:eastAsiaTheme="minorEastAsia"/>
                <w:lang w:eastAsia="zh-CN"/>
              </w:rPr>
            </w:pPr>
            <w:r>
              <w:t>Sep 2015 – Jul 2020</w:t>
            </w:r>
          </w:p>
        </w:tc>
        <w:tc>
          <w:tcPr>
            <w:tcW w:w="8206" w:type="dxa"/>
          </w:tcPr>
          <w:p w14:paraId="040BE760" w14:textId="6209327C" w:rsidR="004F3AAE" w:rsidRPr="00E94B90" w:rsidRDefault="004F3AAE" w:rsidP="004F3AAE">
            <w:pPr>
              <w:spacing w:line="288" w:lineRule="auto"/>
            </w:pPr>
            <w:r>
              <w:t>B.E. in Urban and Rural Planning, Tongji University, China</w:t>
            </w:r>
          </w:p>
        </w:tc>
      </w:tr>
    </w:tbl>
    <w:p w14:paraId="6907C786" w14:textId="305C1B1D" w:rsidR="000D4A3C" w:rsidRDefault="00DC01E1">
      <w:pPr>
        <w:pStyle w:val="11"/>
        <w:spacing w:beforeLines="50" w:before="156"/>
        <w:rPr>
          <w:lang w:eastAsia="zh-CN"/>
        </w:rPr>
      </w:pPr>
      <w:r>
        <w:t>P</w:t>
      </w:r>
      <w:r w:rsidR="00547826">
        <w:t>UBLICATION</w:t>
      </w:r>
      <w:r w:rsidR="00F2664C">
        <w:t>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9376"/>
      </w:tblGrid>
      <w:tr w:rsidR="00E72BC8" w14:paraId="6B34CDCB" w14:textId="77777777" w:rsidTr="00FE1E8B">
        <w:tc>
          <w:tcPr>
            <w:tcW w:w="1080" w:type="dxa"/>
          </w:tcPr>
          <w:p w14:paraId="678976BD" w14:textId="5A15381E" w:rsidR="00E72BC8" w:rsidRPr="00E3006D" w:rsidRDefault="00E72BC8" w:rsidP="00E72BC8">
            <w:pPr>
              <w:spacing w:line="288" w:lineRule="auto"/>
              <w:rPr>
                <w:rFonts w:eastAsiaTheme="minorEastAsia"/>
                <w:lang w:eastAsia="zh-CN"/>
              </w:rPr>
            </w:pPr>
            <w:r w:rsidRPr="00E3006D">
              <w:rPr>
                <w:rFonts w:eastAsiaTheme="minorEastAsia"/>
                <w:lang w:eastAsia="zh-CN"/>
              </w:rPr>
              <w:t>2022</w:t>
            </w:r>
          </w:p>
        </w:tc>
        <w:tc>
          <w:tcPr>
            <w:tcW w:w="9376" w:type="dxa"/>
          </w:tcPr>
          <w:p w14:paraId="1F9D28D9" w14:textId="19E33E0D" w:rsidR="00E72BC8" w:rsidRPr="00E3006D" w:rsidRDefault="00E72BC8" w:rsidP="00E72BC8">
            <w:pPr>
              <w:spacing w:line="288" w:lineRule="auto"/>
            </w:pPr>
            <w:r w:rsidRPr="00E3006D">
              <w:t xml:space="preserve">Li, Z., &amp; Niu, X. (2022). Exploring Spatial </w:t>
            </w:r>
            <w:proofErr w:type="spellStart"/>
            <w:r w:rsidRPr="00E3006D">
              <w:t>Nonstationarity</w:t>
            </w:r>
            <w:proofErr w:type="spellEnd"/>
            <w:r w:rsidRPr="00E3006D">
              <w:t xml:space="preserve"> in Determinants of Intercity Commuting </w:t>
            </w:r>
            <w:r w:rsidRPr="00E3006D">
              <w:rPr>
                <w:rFonts w:eastAsiaTheme="minorEastAsia"/>
                <w:lang w:eastAsia="zh-CN"/>
              </w:rPr>
              <w:t>Flows</w:t>
            </w:r>
            <w:r w:rsidRPr="00E3006D">
              <w:t>: A Case Study of Suzhou–Shanghai, China. </w:t>
            </w:r>
            <w:r w:rsidRPr="00E3006D">
              <w:rPr>
                <w:i/>
              </w:rPr>
              <w:t>ISPRS International Journal of Geo-Information</w:t>
            </w:r>
            <w:r w:rsidRPr="00E3006D">
              <w:t>, 11(6), 335. https://doi.org/10.3390/ijgi11060335</w:t>
            </w:r>
          </w:p>
        </w:tc>
      </w:tr>
    </w:tbl>
    <w:p w14:paraId="616D45AF" w14:textId="2509177B" w:rsidR="000D4A3C" w:rsidRDefault="00DC01E1">
      <w:pPr>
        <w:pStyle w:val="11"/>
        <w:spacing w:beforeLines="50" w:before="156"/>
      </w:pPr>
      <w:r>
        <w:t>C</w:t>
      </w:r>
      <w:r w:rsidR="00547826">
        <w:t>ONFERENCE</w:t>
      </w:r>
      <w:r w:rsidR="00F2664C">
        <w:t>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9376"/>
      </w:tblGrid>
      <w:tr w:rsidR="00FF4B18" w14:paraId="5C8C700C" w14:textId="77777777" w:rsidTr="00FE1E8B">
        <w:tc>
          <w:tcPr>
            <w:tcW w:w="1080" w:type="dxa"/>
          </w:tcPr>
          <w:p w14:paraId="3FBF4192" w14:textId="133806BB" w:rsidR="00FF4B18" w:rsidRPr="00FF4B18" w:rsidRDefault="00FF4B18" w:rsidP="00517116">
            <w:pPr>
              <w:spacing w:line="288" w:lineRule="auto"/>
            </w:pPr>
            <w:r w:rsidRPr="00FF4B18">
              <w:t>2021</w:t>
            </w:r>
          </w:p>
        </w:tc>
        <w:tc>
          <w:tcPr>
            <w:tcW w:w="9376" w:type="dxa"/>
          </w:tcPr>
          <w:p w14:paraId="27435123" w14:textId="7D673E29" w:rsidR="00FF4B18" w:rsidRPr="00FF4B18" w:rsidRDefault="00FF4B18" w:rsidP="00FF4B18">
            <w:pPr>
              <w:spacing w:beforeLines="20" w:before="62" w:line="288" w:lineRule="auto"/>
              <w:rPr>
                <w:rFonts w:eastAsiaTheme="minorEastAsia"/>
                <w:lang w:eastAsia="zh-CN"/>
              </w:rPr>
            </w:pPr>
            <w:r w:rsidRPr="00FF4B18">
              <w:rPr>
                <w:rFonts w:eastAsiaTheme="minorEastAsia"/>
                <w:lang w:eastAsia="zh-CN"/>
              </w:rPr>
              <w:t>Li, Z. (2021). Exploring Characteristics of Shanghai’s Spatial Structure Network Based on Residents’ Activities</w:t>
            </w:r>
            <w:r w:rsidRPr="00FF4B18">
              <w:rPr>
                <w:rFonts w:eastAsiaTheme="minorEastAsia" w:hint="eastAsia"/>
                <w:lang w:eastAsia="zh-CN"/>
              </w:rPr>
              <w:t>.</w:t>
            </w:r>
            <w:r w:rsidRPr="00FF4B18">
              <w:rPr>
                <w:rFonts w:eastAsiaTheme="minorEastAsia"/>
                <w:lang w:eastAsia="zh-CN"/>
              </w:rPr>
              <w:t xml:space="preserve"> At </w:t>
            </w:r>
            <w:r w:rsidRPr="00FF4B18">
              <w:rPr>
                <w:rFonts w:eastAsiaTheme="minorEastAsia"/>
                <w:i/>
                <w:lang w:eastAsia="zh-CN"/>
              </w:rPr>
              <w:t>the Annual National Planning Conference 20/21</w:t>
            </w:r>
            <w:r w:rsidRPr="00FF4B18">
              <w:rPr>
                <w:rFonts w:eastAsiaTheme="minorEastAsia"/>
                <w:lang w:eastAsia="zh-CN"/>
              </w:rPr>
              <w:t>, Chengdu, China</w:t>
            </w:r>
          </w:p>
        </w:tc>
      </w:tr>
      <w:tr w:rsidR="00E72BC8" w14:paraId="7A12447F" w14:textId="77777777" w:rsidTr="00FE1E8B">
        <w:tc>
          <w:tcPr>
            <w:tcW w:w="1080" w:type="dxa"/>
          </w:tcPr>
          <w:p w14:paraId="11DC9FF9" w14:textId="3802CB36" w:rsidR="00E72BC8" w:rsidRDefault="00E72BC8" w:rsidP="00517116">
            <w:pPr>
              <w:spacing w:line="288" w:lineRule="auto"/>
              <w:rPr>
                <w:rFonts w:eastAsiaTheme="minorEastAsia"/>
                <w:lang w:eastAsia="zh-CN"/>
              </w:rPr>
            </w:pPr>
            <w:r>
              <w:t>2019</w:t>
            </w:r>
          </w:p>
        </w:tc>
        <w:tc>
          <w:tcPr>
            <w:tcW w:w="9376" w:type="dxa"/>
          </w:tcPr>
          <w:p w14:paraId="11A4CB27" w14:textId="3703F4CD" w:rsidR="00E72BC8" w:rsidRDefault="006E6886" w:rsidP="00517116">
            <w:pPr>
              <w:spacing w:afterLines="40" w:after="124" w:line="288" w:lineRule="auto"/>
              <w:rPr>
                <w:rFonts w:eastAsiaTheme="minorEastAsia"/>
                <w:lang w:eastAsia="zh-CN"/>
              </w:rPr>
            </w:pPr>
            <w:r w:rsidRPr="00E72BC8">
              <w:rPr>
                <w:bCs/>
              </w:rPr>
              <w:t>Li, Z</w:t>
            </w:r>
            <w:r w:rsidR="006A3085">
              <w:rPr>
                <w:bCs/>
              </w:rPr>
              <w:t>., &amp;Chen, C. (2019).</w:t>
            </w:r>
            <w:r>
              <w:rPr>
                <w:bCs/>
              </w:rPr>
              <w:t xml:space="preserve"> </w:t>
            </w:r>
            <w:r w:rsidR="00E72BC8">
              <w:rPr>
                <w:rFonts w:eastAsiaTheme="minorEastAsia"/>
                <w:lang w:eastAsia="zh-CN"/>
              </w:rPr>
              <w:t xml:space="preserve">Identifying Peri-urbanization as a Spatiotemporal Process in China’s Megacity Region: The Case of Fuzhou (2000-2015). At </w:t>
            </w:r>
            <w:r w:rsidR="00E72BC8">
              <w:rPr>
                <w:rFonts w:eastAsiaTheme="minorEastAsia"/>
                <w:i/>
                <w:lang w:eastAsia="zh-CN"/>
              </w:rPr>
              <w:t>the 13</w:t>
            </w:r>
            <w:r w:rsidR="00E72BC8">
              <w:rPr>
                <w:rFonts w:eastAsiaTheme="minorEastAsia"/>
                <w:i/>
                <w:vertAlign w:val="superscript"/>
                <w:lang w:eastAsia="zh-CN"/>
              </w:rPr>
              <w:t>th</w:t>
            </w:r>
            <w:r w:rsidR="00E72BC8">
              <w:rPr>
                <w:rFonts w:eastAsiaTheme="minorEastAsia"/>
                <w:i/>
                <w:lang w:eastAsia="zh-CN"/>
              </w:rPr>
              <w:t xml:space="preserve"> International Association for China Planning (IACP) Conference</w:t>
            </w:r>
            <w:r w:rsidR="00E72BC8">
              <w:rPr>
                <w:rFonts w:eastAsiaTheme="minorEastAsia"/>
                <w:lang w:eastAsia="zh-CN"/>
              </w:rPr>
              <w:t>, Chengdu, China.</w:t>
            </w:r>
          </w:p>
        </w:tc>
      </w:tr>
    </w:tbl>
    <w:p w14:paraId="4EE00717" w14:textId="616B48FA" w:rsidR="00EB6229" w:rsidRDefault="00EB6229" w:rsidP="00EB6229">
      <w:pPr>
        <w:pStyle w:val="11"/>
        <w:spacing w:beforeLines="50" w:before="156"/>
      </w:pPr>
      <w:r>
        <w:t>RESEARCH EXPERIENCES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30"/>
        <w:gridCol w:w="8026"/>
      </w:tblGrid>
      <w:tr w:rsidR="00FF6C21" w14:paraId="6F4FAB9A" w14:textId="77777777" w:rsidTr="00CA7063">
        <w:trPr>
          <w:trHeight w:val="72"/>
        </w:trPr>
        <w:tc>
          <w:tcPr>
            <w:tcW w:w="2430" w:type="dxa"/>
          </w:tcPr>
          <w:p w14:paraId="55BD2F44" w14:textId="0D45F38C" w:rsidR="00FF6C21" w:rsidRPr="00E94B90" w:rsidRDefault="00FF6C21" w:rsidP="00CA7063">
            <w:pPr>
              <w:spacing w:line="288" w:lineRule="auto"/>
              <w:rPr>
                <w:rFonts w:eastAsiaTheme="minorEastAsia"/>
                <w:lang w:eastAsia="zh-CN"/>
              </w:rPr>
            </w:pPr>
            <w:r w:rsidRPr="00E94B90">
              <w:rPr>
                <w:rFonts w:eastAsiaTheme="minorEastAsia"/>
                <w:lang w:eastAsia="zh-CN"/>
              </w:rPr>
              <w:t>Aug 202</w:t>
            </w:r>
            <w:r>
              <w:rPr>
                <w:rFonts w:eastAsiaTheme="minorEastAsia"/>
                <w:lang w:eastAsia="zh-CN"/>
              </w:rPr>
              <w:t>5</w:t>
            </w:r>
            <w:r w:rsidRPr="00E94B90">
              <w:rPr>
                <w:rFonts w:eastAsiaTheme="minorEastAsia"/>
                <w:lang w:eastAsia="zh-CN"/>
              </w:rPr>
              <w:t xml:space="preserve"> – </w:t>
            </w:r>
            <w:r>
              <w:rPr>
                <w:rFonts w:eastAsiaTheme="minorEastAsia"/>
                <w:lang w:eastAsia="zh-CN"/>
              </w:rPr>
              <w:t>May 2026</w:t>
            </w:r>
            <w:r w:rsidRPr="00E94B90">
              <w:rPr>
                <w:rFonts w:eastAsiaTheme="minorEastAsia"/>
                <w:lang w:eastAsia="zh-CN"/>
              </w:rPr>
              <w:t xml:space="preserve">   </w:t>
            </w:r>
          </w:p>
        </w:tc>
        <w:tc>
          <w:tcPr>
            <w:tcW w:w="8026" w:type="dxa"/>
          </w:tcPr>
          <w:p w14:paraId="55CB3225" w14:textId="2719F59A" w:rsidR="00FF6C21" w:rsidRDefault="00FF6C21" w:rsidP="00CA7063">
            <w:pPr>
              <w:spacing w:line="288" w:lineRule="auto"/>
            </w:pPr>
            <w:r w:rsidRPr="00FF6C21">
              <w:t>Graduate Research Assistant</w:t>
            </w:r>
            <w:r>
              <w:t>, Department of Geography, Florida State University, USA</w:t>
            </w:r>
          </w:p>
        </w:tc>
      </w:tr>
      <w:tr w:rsidR="00EB6229" w14:paraId="0900E057" w14:textId="77777777" w:rsidTr="00CA7063">
        <w:trPr>
          <w:trHeight w:val="72"/>
        </w:trPr>
        <w:tc>
          <w:tcPr>
            <w:tcW w:w="2430" w:type="dxa"/>
          </w:tcPr>
          <w:p w14:paraId="037CD660" w14:textId="77777777" w:rsidR="00EB6229" w:rsidRDefault="00EB6229" w:rsidP="00CA7063">
            <w:pPr>
              <w:spacing w:line="288" w:lineRule="auto"/>
              <w:rPr>
                <w:rFonts w:eastAsiaTheme="minorEastAsia"/>
                <w:lang w:eastAsia="zh-CN"/>
              </w:rPr>
            </w:pPr>
            <w:r w:rsidRPr="00E94B90">
              <w:rPr>
                <w:rFonts w:eastAsiaTheme="minorEastAsia"/>
                <w:lang w:eastAsia="zh-CN"/>
              </w:rPr>
              <w:t xml:space="preserve">Aug 2023 – </w:t>
            </w:r>
            <w:r>
              <w:rPr>
                <w:rFonts w:eastAsiaTheme="minorEastAsia"/>
                <w:lang w:eastAsia="zh-CN"/>
              </w:rPr>
              <w:t>May 2024</w:t>
            </w:r>
            <w:r w:rsidRPr="00E94B90">
              <w:rPr>
                <w:rFonts w:eastAsiaTheme="minorEastAsia"/>
                <w:lang w:eastAsia="zh-CN"/>
              </w:rPr>
              <w:t xml:space="preserve">   </w:t>
            </w:r>
          </w:p>
        </w:tc>
        <w:tc>
          <w:tcPr>
            <w:tcW w:w="8026" w:type="dxa"/>
          </w:tcPr>
          <w:p w14:paraId="6738CC42" w14:textId="30BEE1E7" w:rsidR="00EB6229" w:rsidRPr="00E72BC8" w:rsidRDefault="00FF6C21" w:rsidP="00CA7063">
            <w:pPr>
              <w:spacing w:line="288" w:lineRule="auto"/>
            </w:pPr>
            <w:r w:rsidRPr="00FF6C21">
              <w:t>Graduate Research Assistant</w:t>
            </w:r>
            <w:r w:rsidR="00EB6229">
              <w:t>, School of Geographical Science and Urban Planning, Arizona State University, USA</w:t>
            </w:r>
          </w:p>
        </w:tc>
      </w:tr>
    </w:tbl>
    <w:p w14:paraId="1550F649" w14:textId="2DAD0A81" w:rsidR="009C0ADC" w:rsidRDefault="009C0ADC" w:rsidP="009C0ADC">
      <w:pPr>
        <w:pStyle w:val="11"/>
        <w:spacing w:beforeLines="50" w:before="156"/>
      </w:pPr>
      <w:r>
        <w:t>TEACHING EXPERIENCES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9016"/>
      </w:tblGrid>
      <w:tr w:rsidR="00004C5D" w14:paraId="37F76FAC" w14:textId="77777777" w:rsidTr="00004C5D">
        <w:tc>
          <w:tcPr>
            <w:tcW w:w="1440" w:type="dxa"/>
          </w:tcPr>
          <w:p w14:paraId="029F00B0" w14:textId="33755582" w:rsidR="00004C5D" w:rsidRPr="00FF4B18" w:rsidRDefault="00004C5D" w:rsidP="00004C5D">
            <w:pPr>
              <w:spacing w:line="288" w:lineRule="auto"/>
            </w:pPr>
            <w:r w:rsidRPr="00FF4B18">
              <w:t>20</w:t>
            </w:r>
            <w:r>
              <w:t>24 Spring</w:t>
            </w:r>
          </w:p>
        </w:tc>
        <w:tc>
          <w:tcPr>
            <w:tcW w:w="9016" w:type="dxa"/>
          </w:tcPr>
          <w:p w14:paraId="28EA1A15" w14:textId="753A25E5" w:rsidR="00004C5D" w:rsidRPr="000340E0" w:rsidRDefault="00004C5D" w:rsidP="00004C5D">
            <w:pPr>
              <w:spacing w:beforeLines="20" w:before="62" w:line="288" w:lineRule="auto"/>
              <w:rPr>
                <w:rFonts w:eastAsiaTheme="minorEastAsia"/>
                <w:lang w:eastAsia="zh-CN"/>
              </w:rPr>
            </w:pPr>
            <w:r w:rsidRPr="000340E0">
              <w:rPr>
                <w:rFonts w:eastAsiaTheme="minorEastAsia"/>
                <w:lang w:eastAsia="zh-CN"/>
              </w:rPr>
              <w:t>Teaching Assistant</w:t>
            </w:r>
            <w:r>
              <w:rPr>
                <w:rFonts w:eastAsiaTheme="minorEastAsia"/>
                <w:lang w:eastAsia="zh-CN"/>
              </w:rPr>
              <w:t xml:space="preserve">, </w:t>
            </w:r>
            <w:r w:rsidRPr="00004C5D">
              <w:rPr>
                <w:rFonts w:eastAsiaTheme="minorEastAsia"/>
                <w:lang w:eastAsia="zh-CN"/>
              </w:rPr>
              <w:t>GIS 270: Stats for Geography &amp; Planning</w:t>
            </w:r>
            <w:r>
              <w:rPr>
                <w:rFonts w:eastAsiaTheme="minorEastAsia"/>
                <w:lang w:eastAsia="zh-CN"/>
              </w:rPr>
              <w:t xml:space="preserve">, </w:t>
            </w:r>
            <w:r w:rsidRPr="000340E0">
              <w:rPr>
                <w:rFonts w:eastAsiaTheme="minorEastAsia"/>
                <w:lang w:eastAsia="zh-CN"/>
              </w:rPr>
              <w:t>School of Geographical Sciences and Urban Planning</w:t>
            </w:r>
            <w:r>
              <w:rPr>
                <w:rFonts w:eastAsiaTheme="minorEastAsia"/>
                <w:lang w:eastAsia="zh-CN"/>
              </w:rPr>
              <w:t>, Arizona State University</w:t>
            </w:r>
          </w:p>
        </w:tc>
      </w:tr>
      <w:tr w:rsidR="00004C5D" w14:paraId="6933D7E9" w14:textId="77777777" w:rsidTr="00004C5D">
        <w:tc>
          <w:tcPr>
            <w:tcW w:w="1440" w:type="dxa"/>
          </w:tcPr>
          <w:p w14:paraId="09BC1661" w14:textId="5D7E8D02" w:rsidR="00004C5D" w:rsidRPr="00FF4B18" w:rsidRDefault="00004C5D" w:rsidP="00004C5D">
            <w:pPr>
              <w:spacing w:line="288" w:lineRule="auto"/>
            </w:pPr>
            <w:r w:rsidRPr="00FF4B18">
              <w:t>202</w:t>
            </w:r>
            <w:r>
              <w:t>4 Fall</w:t>
            </w:r>
          </w:p>
        </w:tc>
        <w:tc>
          <w:tcPr>
            <w:tcW w:w="9016" w:type="dxa"/>
          </w:tcPr>
          <w:p w14:paraId="0FB33639" w14:textId="31B9489C" w:rsidR="00004C5D" w:rsidRPr="000340E0" w:rsidRDefault="00004C5D" w:rsidP="00004C5D">
            <w:pPr>
              <w:spacing w:beforeLines="20" w:before="62" w:line="288" w:lineRule="auto"/>
              <w:rPr>
                <w:rFonts w:eastAsiaTheme="minorEastAsia"/>
                <w:lang w:eastAsia="zh-CN"/>
              </w:rPr>
            </w:pPr>
            <w:r w:rsidRPr="000340E0">
              <w:rPr>
                <w:rFonts w:eastAsiaTheme="minorEastAsia"/>
                <w:lang w:eastAsia="zh-CN"/>
              </w:rPr>
              <w:t>Teaching Assistant</w:t>
            </w:r>
            <w:r>
              <w:rPr>
                <w:rFonts w:eastAsiaTheme="minorEastAsia"/>
                <w:lang w:eastAsia="zh-CN"/>
              </w:rPr>
              <w:t xml:space="preserve">, </w:t>
            </w:r>
            <w:r w:rsidRPr="00EB6229">
              <w:rPr>
                <w:rFonts w:eastAsiaTheme="minorEastAsia"/>
                <w:lang w:eastAsia="zh-CN"/>
              </w:rPr>
              <w:t>GIS 311: Geographic Info Science III</w:t>
            </w:r>
            <w:r>
              <w:rPr>
                <w:rFonts w:eastAsiaTheme="minorEastAsia"/>
                <w:lang w:eastAsia="zh-CN"/>
              </w:rPr>
              <w:t xml:space="preserve">, </w:t>
            </w:r>
            <w:r w:rsidRPr="000340E0">
              <w:rPr>
                <w:rFonts w:eastAsiaTheme="minorEastAsia"/>
                <w:lang w:eastAsia="zh-CN"/>
              </w:rPr>
              <w:t>School of Geographical Sciences and Urban Planning</w:t>
            </w:r>
            <w:r>
              <w:rPr>
                <w:rFonts w:eastAsiaTheme="minorEastAsia"/>
                <w:lang w:eastAsia="zh-CN"/>
              </w:rPr>
              <w:t>, Arizona State University</w:t>
            </w:r>
          </w:p>
        </w:tc>
      </w:tr>
      <w:tr w:rsidR="00004C5D" w14:paraId="404D6FEC" w14:textId="77777777" w:rsidTr="00004C5D">
        <w:tc>
          <w:tcPr>
            <w:tcW w:w="1440" w:type="dxa"/>
          </w:tcPr>
          <w:p w14:paraId="339C3F5B" w14:textId="7E1352E9" w:rsidR="00004C5D" w:rsidRPr="00FF4B18" w:rsidRDefault="00004C5D" w:rsidP="00004C5D">
            <w:pPr>
              <w:spacing w:line="288" w:lineRule="auto"/>
            </w:pPr>
            <w:r w:rsidRPr="00FF4B18">
              <w:t>202</w:t>
            </w:r>
            <w:r>
              <w:t>4 Fall</w:t>
            </w:r>
          </w:p>
        </w:tc>
        <w:tc>
          <w:tcPr>
            <w:tcW w:w="9016" w:type="dxa"/>
          </w:tcPr>
          <w:p w14:paraId="0C374B39" w14:textId="5A4369C7" w:rsidR="00004C5D" w:rsidRPr="00FF4B18" w:rsidRDefault="00004C5D" w:rsidP="00004C5D">
            <w:pPr>
              <w:spacing w:beforeLines="20" w:before="62" w:line="288" w:lineRule="auto"/>
              <w:rPr>
                <w:rFonts w:eastAsiaTheme="minorEastAsia"/>
                <w:lang w:eastAsia="zh-CN"/>
              </w:rPr>
            </w:pPr>
            <w:r w:rsidRPr="000340E0">
              <w:rPr>
                <w:rFonts w:eastAsiaTheme="minorEastAsia"/>
                <w:lang w:eastAsia="zh-CN"/>
              </w:rPr>
              <w:t>Teaching Assistant</w:t>
            </w:r>
            <w:r>
              <w:rPr>
                <w:rFonts w:eastAsiaTheme="minorEastAsia"/>
                <w:lang w:eastAsia="zh-CN"/>
              </w:rPr>
              <w:t xml:space="preserve">, </w:t>
            </w:r>
            <w:r w:rsidRPr="000340E0">
              <w:rPr>
                <w:rFonts w:eastAsiaTheme="minorEastAsia"/>
                <w:lang w:eastAsia="zh-CN"/>
              </w:rPr>
              <w:t>GIS 471: Spatial Statistics for Geography &amp; Planning</w:t>
            </w:r>
            <w:r>
              <w:rPr>
                <w:rFonts w:eastAsiaTheme="minorEastAsia"/>
                <w:lang w:eastAsia="zh-CN"/>
              </w:rPr>
              <w:t xml:space="preserve">, </w:t>
            </w:r>
            <w:r w:rsidRPr="000340E0">
              <w:rPr>
                <w:rFonts w:eastAsiaTheme="minorEastAsia"/>
                <w:lang w:eastAsia="zh-CN"/>
              </w:rPr>
              <w:t xml:space="preserve">School of Geographical </w:t>
            </w:r>
            <w:r w:rsidRPr="000340E0">
              <w:rPr>
                <w:rFonts w:eastAsiaTheme="minorEastAsia"/>
                <w:lang w:eastAsia="zh-CN"/>
              </w:rPr>
              <w:lastRenderedPageBreak/>
              <w:t>Sciences and Urban Planning</w:t>
            </w:r>
            <w:r>
              <w:rPr>
                <w:rFonts w:eastAsiaTheme="minorEastAsia"/>
                <w:lang w:eastAsia="zh-CN"/>
              </w:rPr>
              <w:t>, Arizona State University</w:t>
            </w:r>
          </w:p>
        </w:tc>
      </w:tr>
    </w:tbl>
    <w:p w14:paraId="1BCA222C" w14:textId="2A0A2A69" w:rsidR="000D4A3C" w:rsidRDefault="00DC01E1">
      <w:pPr>
        <w:pStyle w:val="11"/>
        <w:spacing w:beforeLines="50" w:before="156"/>
      </w:pPr>
      <w:r>
        <w:rPr>
          <w:rFonts w:hint="eastAsia"/>
        </w:rPr>
        <w:lastRenderedPageBreak/>
        <w:t>S</w:t>
      </w:r>
      <w:r w:rsidR="00547826">
        <w:t>CHOLARSHIP</w:t>
      </w:r>
      <w:r w:rsidR="00F2664C">
        <w:t>S</w:t>
      </w:r>
    </w:p>
    <w:p w14:paraId="6F48D77D" w14:textId="3C21290D" w:rsidR="0020281C" w:rsidRDefault="0020281C" w:rsidP="0020281C">
      <w:pPr>
        <w:spacing w:line="288" w:lineRule="auto"/>
        <w:rPr>
          <w:rFonts w:eastAsiaTheme="minorEastAsia"/>
          <w:lang w:eastAsia="zh-CN"/>
        </w:rPr>
      </w:pPr>
      <w:bookmarkStart w:id="0" w:name="OLE_LINK7"/>
      <w:bookmarkStart w:id="1" w:name="OLE_LINK8"/>
      <w:r>
        <w:rPr>
          <w:rFonts w:eastAsiaTheme="minorEastAsia" w:hint="eastAsia"/>
          <w:lang w:eastAsia="zh-CN"/>
        </w:rPr>
        <w:t>2022</w:t>
      </w:r>
      <w:r>
        <w:rPr>
          <w:rFonts w:eastAsiaTheme="minorEastAsia" w:hint="eastAsia"/>
          <w:lang w:eastAsia="zh-CN"/>
        </w:rPr>
        <w:tab/>
      </w:r>
      <w:r w:rsidR="00AA0685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China National Scholarship, Tongji University</w:t>
      </w:r>
    </w:p>
    <w:p w14:paraId="565FADBF" w14:textId="34F9743E" w:rsidR="000D4A3C" w:rsidRPr="001855A5" w:rsidRDefault="0020281C" w:rsidP="001855A5">
      <w:pPr>
        <w:spacing w:line="288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2016</w:t>
      </w:r>
      <w:r>
        <w:rPr>
          <w:rFonts w:eastAsiaTheme="minorEastAsia"/>
          <w:lang w:eastAsia="zh-CN"/>
        </w:rPr>
        <w:tab/>
      </w:r>
      <w:r w:rsidR="00AA0685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China National Scholarship, Tongji University</w:t>
      </w:r>
      <w:bookmarkEnd w:id="0"/>
      <w:bookmarkEnd w:id="1"/>
    </w:p>
    <w:sectPr w:rsidR="000D4A3C" w:rsidRPr="001855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18C98" w14:textId="77777777" w:rsidR="00D85F2D" w:rsidRDefault="00D85F2D" w:rsidP="00857918">
      <w:r>
        <w:separator/>
      </w:r>
    </w:p>
  </w:endnote>
  <w:endnote w:type="continuationSeparator" w:id="0">
    <w:p w14:paraId="0DC1A7C3" w14:textId="77777777" w:rsidR="00D85F2D" w:rsidRDefault="00D85F2D" w:rsidP="0085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87997" w14:textId="77777777" w:rsidR="00D85F2D" w:rsidRDefault="00D85F2D" w:rsidP="00857918">
      <w:r>
        <w:separator/>
      </w:r>
    </w:p>
  </w:footnote>
  <w:footnote w:type="continuationSeparator" w:id="0">
    <w:p w14:paraId="517E0EAE" w14:textId="77777777" w:rsidR="00D85F2D" w:rsidRDefault="00D85F2D" w:rsidP="0085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7179"/>
    <w:multiLevelType w:val="multilevel"/>
    <w:tmpl w:val="0B2D717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A4826"/>
    <w:multiLevelType w:val="multilevel"/>
    <w:tmpl w:val="44CA48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F1E69"/>
    <w:multiLevelType w:val="multilevel"/>
    <w:tmpl w:val="6FDF1E6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61028607">
    <w:abstractNumId w:val="2"/>
  </w:num>
  <w:num w:numId="2" w16cid:durableId="331153569">
    <w:abstractNumId w:val="1"/>
  </w:num>
  <w:num w:numId="3" w16cid:durableId="86155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hlNDNmN2I5MzYxNGVjZTU3MmJjM2Q4ZjhjYWEwZTEifQ=="/>
  </w:docVars>
  <w:rsids>
    <w:rsidRoot w:val="00C96AB6"/>
    <w:rsid w:val="00004C5D"/>
    <w:rsid w:val="000059CF"/>
    <w:rsid w:val="00010177"/>
    <w:rsid w:val="000223FC"/>
    <w:rsid w:val="0003284D"/>
    <w:rsid w:val="000340E0"/>
    <w:rsid w:val="00045119"/>
    <w:rsid w:val="000526C9"/>
    <w:rsid w:val="000537ED"/>
    <w:rsid w:val="0007120C"/>
    <w:rsid w:val="000B58A5"/>
    <w:rsid w:val="000C4338"/>
    <w:rsid w:val="000D4A3C"/>
    <w:rsid w:val="001012D7"/>
    <w:rsid w:val="00132BDD"/>
    <w:rsid w:val="001414B2"/>
    <w:rsid w:val="00145838"/>
    <w:rsid w:val="00150B08"/>
    <w:rsid w:val="00163575"/>
    <w:rsid w:val="00164709"/>
    <w:rsid w:val="001855A5"/>
    <w:rsid w:val="001D509A"/>
    <w:rsid w:val="001F34C5"/>
    <w:rsid w:val="001F702F"/>
    <w:rsid w:val="001F72D5"/>
    <w:rsid w:val="0020281C"/>
    <w:rsid w:val="002067C6"/>
    <w:rsid w:val="00210140"/>
    <w:rsid w:val="00242E38"/>
    <w:rsid w:val="00254001"/>
    <w:rsid w:val="0026104D"/>
    <w:rsid w:val="00294168"/>
    <w:rsid w:val="002A21F6"/>
    <w:rsid w:val="002A32DD"/>
    <w:rsid w:val="002C327B"/>
    <w:rsid w:val="002F6FB9"/>
    <w:rsid w:val="00337E56"/>
    <w:rsid w:val="00350E6F"/>
    <w:rsid w:val="003A58B5"/>
    <w:rsid w:val="003A63D5"/>
    <w:rsid w:val="003C62DF"/>
    <w:rsid w:val="003D3F95"/>
    <w:rsid w:val="003E293E"/>
    <w:rsid w:val="003E29DC"/>
    <w:rsid w:val="003F6163"/>
    <w:rsid w:val="0040510D"/>
    <w:rsid w:val="004128D6"/>
    <w:rsid w:val="00421AE7"/>
    <w:rsid w:val="00423678"/>
    <w:rsid w:val="00445520"/>
    <w:rsid w:val="00462D2C"/>
    <w:rsid w:val="0048551D"/>
    <w:rsid w:val="00491D88"/>
    <w:rsid w:val="00493E12"/>
    <w:rsid w:val="004A1CCC"/>
    <w:rsid w:val="004A53E4"/>
    <w:rsid w:val="004C5C82"/>
    <w:rsid w:val="004F3AAE"/>
    <w:rsid w:val="004F6D8D"/>
    <w:rsid w:val="00517E9A"/>
    <w:rsid w:val="00523C53"/>
    <w:rsid w:val="005247CD"/>
    <w:rsid w:val="00536771"/>
    <w:rsid w:val="00547826"/>
    <w:rsid w:val="0057105E"/>
    <w:rsid w:val="00571D70"/>
    <w:rsid w:val="00593FD6"/>
    <w:rsid w:val="005945BB"/>
    <w:rsid w:val="005B4F83"/>
    <w:rsid w:val="005C3EB6"/>
    <w:rsid w:val="005D0CF1"/>
    <w:rsid w:val="005F1941"/>
    <w:rsid w:val="00656C0F"/>
    <w:rsid w:val="00657F61"/>
    <w:rsid w:val="00676691"/>
    <w:rsid w:val="006871A1"/>
    <w:rsid w:val="006A3085"/>
    <w:rsid w:val="006A537A"/>
    <w:rsid w:val="006B7A49"/>
    <w:rsid w:val="006C2EE1"/>
    <w:rsid w:val="006D0642"/>
    <w:rsid w:val="006D284C"/>
    <w:rsid w:val="006E6886"/>
    <w:rsid w:val="00702C44"/>
    <w:rsid w:val="00713286"/>
    <w:rsid w:val="007328F9"/>
    <w:rsid w:val="00736C6F"/>
    <w:rsid w:val="00743784"/>
    <w:rsid w:val="007B3630"/>
    <w:rsid w:val="007D5A1A"/>
    <w:rsid w:val="007E1EE0"/>
    <w:rsid w:val="007F5664"/>
    <w:rsid w:val="008078D5"/>
    <w:rsid w:val="00810346"/>
    <w:rsid w:val="008230B2"/>
    <w:rsid w:val="00830D85"/>
    <w:rsid w:val="0084783C"/>
    <w:rsid w:val="00857918"/>
    <w:rsid w:val="00863125"/>
    <w:rsid w:val="008853A1"/>
    <w:rsid w:val="008A366A"/>
    <w:rsid w:val="008A4AAA"/>
    <w:rsid w:val="008A517B"/>
    <w:rsid w:val="008B228A"/>
    <w:rsid w:val="008C78A4"/>
    <w:rsid w:val="008D4B20"/>
    <w:rsid w:val="008E7A00"/>
    <w:rsid w:val="008F0246"/>
    <w:rsid w:val="008F4888"/>
    <w:rsid w:val="00913C6A"/>
    <w:rsid w:val="009236D5"/>
    <w:rsid w:val="0092754D"/>
    <w:rsid w:val="009466B2"/>
    <w:rsid w:val="00964FC3"/>
    <w:rsid w:val="009772DC"/>
    <w:rsid w:val="00983556"/>
    <w:rsid w:val="00993DAA"/>
    <w:rsid w:val="009C0ADC"/>
    <w:rsid w:val="009E7C71"/>
    <w:rsid w:val="00A01D99"/>
    <w:rsid w:val="00A156AE"/>
    <w:rsid w:val="00A25F61"/>
    <w:rsid w:val="00A31357"/>
    <w:rsid w:val="00A534AF"/>
    <w:rsid w:val="00A6129F"/>
    <w:rsid w:val="00A765A4"/>
    <w:rsid w:val="00A922AC"/>
    <w:rsid w:val="00A944B2"/>
    <w:rsid w:val="00A9512C"/>
    <w:rsid w:val="00AA0685"/>
    <w:rsid w:val="00AD12DC"/>
    <w:rsid w:val="00AE4B63"/>
    <w:rsid w:val="00AF522D"/>
    <w:rsid w:val="00B06F49"/>
    <w:rsid w:val="00B27A47"/>
    <w:rsid w:val="00B759FC"/>
    <w:rsid w:val="00B80466"/>
    <w:rsid w:val="00BA00EC"/>
    <w:rsid w:val="00BA4F27"/>
    <w:rsid w:val="00BB1F18"/>
    <w:rsid w:val="00BB5100"/>
    <w:rsid w:val="00BC3E8A"/>
    <w:rsid w:val="00C01402"/>
    <w:rsid w:val="00C152E9"/>
    <w:rsid w:val="00C165F9"/>
    <w:rsid w:val="00C3520C"/>
    <w:rsid w:val="00C53E8D"/>
    <w:rsid w:val="00C56FC1"/>
    <w:rsid w:val="00C60877"/>
    <w:rsid w:val="00C6694E"/>
    <w:rsid w:val="00C74711"/>
    <w:rsid w:val="00C96AB6"/>
    <w:rsid w:val="00CA1E10"/>
    <w:rsid w:val="00CA4567"/>
    <w:rsid w:val="00CC04A0"/>
    <w:rsid w:val="00CF38F4"/>
    <w:rsid w:val="00D00369"/>
    <w:rsid w:val="00D01575"/>
    <w:rsid w:val="00D01E1F"/>
    <w:rsid w:val="00D07013"/>
    <w:rsid w:val="00D17D77"/>
    <w:rsid w:val="00D22E0F"/>
    <w:rsid w:val="00D305E9"/>
    <w:rsid w:val="00D35CFE"/>
    <w:rsid w:val="00D404FC"/>
    <w:rsid w:val="00D43FA9"/>
    <w:rsid w:val="00D47F93"/>
    <w:rsid w:val="00D642F9"/>
    <w:rsid w:val="00D85F2D"/>
    <w:rsid w:val="00D921E9"/>
    <w:rsid w:val="00DA0695"/>
    <w:rsid w:val="00DA6290"/>
    <w:rsid w:val="00DB1FFD"/>
    <w:rsid w:val="00DB368A"/>
    <w:rsid w:val="00DC01E1"/>
    <w:rsid w:val="00DD2CDF"/>
    <w:rsid w:val="00DE0E0C"/>
    <w:rsid w:val="00DE5AA5"/>
    <w:rsid w:val="00DE5D7C"/>
    <w:rsid w:val="00DF5430"/>
    <w:rsid w:val="00E20DE0"/>
    <w:rsid w:val="00E220BF"/>
    <w:rsid w:val="00E3006D"/>
    <w:rsid w:val="00E45DD2"/>
    <w:rsid w:val="00E4701D"/>
    <w:rsid w:val="00E72BC8"/>
    <w:rsid w:val="00E81F35"/>
    <w:rsid w:val="00E93FB6"/>
    <w:rsid w:val="00E94B90"/>
    <w:rsid w:val="00E97C32"/>
    <w:rsid w:val="00EA5865"/>
    <w:rsid w:val="00EB6229"/>
    <w:rsid w:val="00EC265A"/>
    <w:rsid w:val="00EC318C"/>
    <w:rsid w:val="00ED719E"/>
    <w:rsid w:val="00ED7529"/>
    <w:rsid w:val="00EE404E"/>
    <w:rsid w:val="00EF345D"/>
    <w:rsid w:val="00F02D8D"/>
    <w:rsid w:val="00F07764"/>
    <w:rsid w:val="00F2664C"/>
    <w:rsid w:val="00F27BAD"/>
    <w:rsid w:val="00F3798D"/>
    <w:rsid w:val="00F517C0"/>
    <w:rsid w:val="00F72F42"/>
    <w:rsid w:val="00F807CC"/>
    <w:rsid w:val="00F846FE"/>
    <w:rsid w:val="00F919F2"/>
    <w:rsid w:val="00F91CDF"/>
    <w:rsid w:val="00FA60F3"/>
    <w:rsid w:val="00FB026A"/>
    <w:rsid w:val="00FB5EED"/>
    <w:rsid w:val="00FC1E0E"/>
    <w:rsid w:val="00FC3EB8"/>
    <w:rsid w:val="00FC62C4"/>
    <w:rsid w:val="00FE1E8B"/>
    <w:rsid w:val="00FF4B18"/>
    <w:rsid w:val="00FF6C21"/>
    <w:rsid w:val="2CA91C5F"/>
    <w:rsid w:val="397748D5"/>
    <w:rsid w:val="71E8651F"/>
    <w:rsid w:val="75EC29D7"/>
    <w:rsid w:val="7FA1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3292CF"/>
  <w14:defaultImageDpi w14:val="32767"/>
  <w15:docId w15:val="{156AC075-3A78-4069-9DDA-0065D86F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pPr>
      <w:spacing w:before="19"/>
      <w:ind w:left="200"/>
    </w:p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18"/>
      <w:szCs w:val="18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18"/>
      <w:szCs w:val="18"/>
      <w:lang w:eastAsia="en-US" w:bidi="en-US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10">
    <w:name w:val="标题1"/>
    <w:basedOn w:val="Normal"/>
    <w:qFormat/>
    <w:pPr>
      <w:spacing w:beforeLines="50" w:before="50" w:line="288" w:lineRule="auto"/>
    </w:pPr>
    <w:rPr>
      <w:b/>
      <w:sz w:val="28"/>
      <w:szCs w:val="20"/>
    </w:rPr>
  </w:style>
  <w:style w:type="paragraph" w:customStyle="1" w:styleId="11">
    <w:name w:val="样式1"/>
    <w:basedOn w:val="Normal"/>
    <w:link w:val="12"/>
    <w:qFormat/>
    <w:rsid w:val="000537ED"/>
    <w:pPr>
      <w:spacing w:before="200" w:line="288" w:lineRule="auto"/>
    </w:pPr>
    <w:rPr>
      <w:b/>
      <w:sz w:val="28"/>
      <w:szCs w:val="20"/>
    </w:rPr>
  </w:style>
  <w:style w:type="character" w:customStyle="1" w:styleId="12">
    <w:name w:val="样式1 字符"/>
    <w:basedOn w:val="DefaultParagraphFont"/>
    <w:link w:val="11"/>
    <w:qFormat/>
    <w:rsid w:val="000537ED"/>
    <w:rPr>
      <w:rFonts w:ascii="Times New Roman" w:eastAsia="Times New Roman" w:hAnsi="Times New Roman" w:cs="Times New Roman"/>
      <w:b/>
      <w:sz w:val="28"/>
      <w:lang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lastModifiedBy>Zhipeng Li</cp:lastModifiedBy>
  <cp:revision>3</cp:revision>
  <cp:lastPrinted>2025-10-14T01:48:00Z</cp:lastPrinted>
  <dcterms:created xsi:type="dcterms:W3CDTF">2025-10-14T01:48:00Z</dcterms:created>
  <dcterms:modified xsi:type="dcterms:W3CDTF">2025-10-14T01:48:00Z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07BC7598CBD441269B583CE4ABFD9127</vt:lpwstr>
  </property>
</Properties>
</file>