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hku-ai-competition-problem-2-需求预测技术报告"/>
    <w:p>
      <w:pPr>
        <w:pStyle w:val="Heading1"/>
      </w:pPr>
      <w:r>
        <w:rPr>
          <w:rFonts w:ascii="Times New Roman" w:hAnsi="Times New Roman" w:eastAsia="SimSun"/>
        </w:rPr>
        <w:t xml:space="preserve">HKU AI Competition Problem 2 需求预测技术报告</w:t>
      </w:r>
    </w:p>
    <w:p>
      <w:pPr>
        <w:pStyle w:val="FirstParagraph"/>
      </w:pPr>
      <w:r>
        <w:rPr>
          <w:bCs/>
          <w:rFonts w:ascii="Times New Roman" w:hAnsi="Times New Roman" w:eastAsia="SimHei"/>
          <w:b/>
        </w:rPr>
        <w:t xml:space="preserve">基于ADIDA层次化框架与集成学习的多客户多品类日度需求预测</w:t>
      </w:r>
    </w:p>
    <w:p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rPr>
          <w:rFonts w:ascii="Times New Roman" w:hAnsi="Times New Roman" w:eastAsia="SimSun"/>
        </w:rPr>
        <w:t xml:space="preserve">摘要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本文针对HKU AI Competition Problem 2需求预测竞赛，提出融合ADIDA（Aggregation-Disaggregation）策略与集成学习的多层次时序预测方案。竞赛任务要求基于3客户×12品类、90天共30,815笔订单（348.9万EA）的历史数据，预测2026年4月每日需求，面临零膨胀分布（64%零值）、间歇性需求及多层次结构三重挑战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核心方法采用ADIDA框架：先预测月度总量，再按星期分布系数分解至日粒度。基础模型层包含LightGBM、XGBoost、Ridge及SBA四种方法，以逆MAE权重融合（50%/20%/10%/20%）。引入Tweedie损失函数（</w:t>
      </w:r>
      <m:oMath>
        <m:r>
          <m:t>p</m:t>
        </m:r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 w:eastAsia="SimSun"/>
        </w:rPr>
        <w:t xml:space="preserve">）应对零膨胀；特征工程涵盖40余项变量，包括时序滞后、滑动窗口、中国节假日及24节气等。预测结果经月度安全约束（上限2.5×历史最大值，下限0.5×历史均值）后处理修正。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模型输出4月预测总量1,239,145 EA，非零预测率80.6%，日均41,305 EA。客户分配（C01 90.7%、C02 2.7%、C03 6.5%）与历史分布一致，验证MAE为29.96。基于组委会修订数据重新训练后，客户分配准确率显著提升。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关键词</w:t>
      </w:r>
      <w:r>
        <w:rPr>
          <w:rFonts w:ascii="Times New Roman" w:hAnsi="Times New Roman" w:eastAsia="SimSun"/>
        </w:rPr>
        <w:t xml:space="preserve">：需求预测；ADIDA；集成学习；Tweedie损失；零膨胀时间序列</w:t>
      </w:r>
    </w:p>
    <w:bookmarkEnd w:id="20"/>
    <w:bookmarkStart w:id="24" w:name="引言"/>
    <w:p>
      <w:pPr>
        <w:pStyle w:val="Heading2"/>
      </w:pPr>
      <w:r>
        <w:rPr>
          <w:rFonts w:ascii="Times New Roman" w:hAnsi="Times New Roman" w:eastAsia="SimSun"/>
        </w:rPr>
        <w:t xml:space="preserve">1. 引言</w:t>
      </w:r>
    </w:p>
    <w:bookmarkStart w:id="21" w:name="竞赛背景与问题描述"/>
    <w:p>
      <w:pPr>
        <w:pStyle w:val="Heading3"/>
      </w:pPr>
      <w:r>
        <w:rPr>
          <w:rFonts w:ascii="Times New Roman" w:hAnsi="Times New Roman" w:eastAsia="SimSun"/>
        </w:rPr>
        <w:t xml:space="preserve">1.1 竞赛背景与问题描述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需求预测（Demand Forecasting）是供应链管理中的核心决策环节，直接影响库存管理、采购计划与物流调度的效率。在食品配送行业，产品保质期短、需求波动大、客户结构复杂，精准预测尤为困难——过度预测导致库存积压与损耗，预测不足则引发缺货损失[^1^]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香港大学人工智能竞赛第二题（HKU AI Competition Problem 2）围绕中国食品批发商的真实运营场景展开，要求基于历史订单数据对多客户、多品类的日度需求量进行预测。数据涵盖2026年1月至3月共90天，包含3个客户与12个产品品类，总计30,815笔订单、348.9万EA（Equivalent Unit）。客户C01为大型连锁客户，占90.7%订单量；C02与C03为中小客户，分别占2.7%与6.5%。品类覆盖豆制品、腌菜、肉类、米面、包装、蛋类等。组委会在赛程中发布了修订数据，修正了1月份C02与C03的客户编码错误，这一调整对训练集一致性至关重要。</w:t>
      </w:r>
    </w:p>
    <w:bookmarkEnd w:id="21"/>
    <w:bookmarkStart w:id="22" w:name="问题难点分析"/>
    <w:p>
      <w:pPr>
        <w:pStyle w:val="Heading3"/>
      </w:pPr>
      <w:r>
        <w:rPr>
          <w:rFonts w:ascii="Times New Roman" w:hAnsi="Times New Roman" w:eastAsia="SimSun"/>
        </w:rPr>
        <w:t xml:space="preserve">1.2 问题难点分析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本任务面临四个核心难点。</w:t>
      </w:r>
      <w:r>
        <w:rPr>
          <w:bCs/>
          <w:rFonts w:ascii="Times New Roman" w:hAnsi="Times New Roman" w:eastAsia="SimHei"/>
          <w:b/>
        </w:rPr>
        <w:t xml:space="preserve">零膨胀分布（Zero-Inflated Distribution）</w:t>
      </w:r>
      <w:r>
        <w:rPr>
          <w:rFonts w:ascii="Times New Roman" w:hAnsi="Times New Roman" w:eastAsia="SimSun"/>
        </w:rPr>
        <w:t xml:space="preserve">：在日×客户×品类粒度下，约64%观测值为零，传统基于正态假设的时间序列模型严重失效。</w:t>
      </w:r>
      <w:r>
        <w:rPr>
          <w:bCs/>
          <w:rFonts w:ascii="Times New Roman" w:hAnsi="Times New Roman" w:eastAsia="SimHei"/>
          <w:b/>
        </w:rPr>
        <w:t xml:space="preserve">间歇性需求（Intermittent Demand）</w:t>
      </w:r>
      <w:r>
        <w:rPr>
          <w:rFonts w:ascii="Times New Roman" w:hAnsi="Times New Roman" w:eastAsia="SimSun"/>
        </w:rPr>
        <w:t xml:space="preserve">：中小客户部分品类订购频率极低且间隔不规则，平均需求间隔（ADI, Average Demand Interval）最高达5.7天，滑动窗口统计特征估计不稳定，平滑类模型易产生系统性偏低偏差。</w:t>
      </w:r>
      <w:r>
        <w:rPr>
          <w:bCs/>
          <w:rFonts w:ascii="Times New Roman" w:hAnsi="Times New Roman" w:eastAsia="SimHei"/>
          <w:b/>
        </w:rPr>
        <w:t xml:space="preserve">多层次结构（Hierarchical Structure）</w:t>
      </w:r>
      <w:r>
        <w:rPr>
          <w:rFonts w:ascii="Times New Roman" w:hAnsi="Times New Roman" w:eastAsia="SimSun"/>
        </w:rPr>
        <w:t xml:space="preserve">：需在客户×品类×日三个维度上保持聚合一致性（Aggregation Consistency），底层36条时间序列的日度预测需可向上聚合为品类总量与客户总量。</w:t>
      </w:r>
      <w:r>
        <w:rPr>
          <w:bCs/>
          <w:rFonts w:ascii="Times New Roman" w:hAnsi="Times New Roman" w:eastAsia="SimHei"/>
          <w:b/>
        </w:rPr>
        <w:t xml:space="preserve">数据稀疏与类别不平衡</w:t>
      </w:r>
      <w:r>
        <w:rPr>
          <w:rFonts w:ascii="Times New Roman" w:hAnsi="Times New Roman" w:eastAsia="SimSun"/>
        </w:rPr>
        <w:t xml:space="preserve">：90天数据对36条序列而言训练样本有限，且C01占比超90%，模型在损失优化过程中易被大客户模式主导，从而系统性忽视中小客户的预测精度。</w:t>
      </w:r>
    </w:p>
    <w:bookmarkEnd w:id="22"/>
    <w:bookmarkStart w:id="23" w:name="本文贡献与创新点概述"/>
    <w:p>
      <w:pPr>
        <w:pStyle w:val="Heading3"/>
      </w:pPr>
      <w:r>
        <w:rPr>
          <w:rFonts w:ascii="Times New Roman" w:hAnsi="Times New Roman" w:eastAsia="SimSun"/>
        </w:rPr>
        <w:t xml:space="preserve">1.3 本文贡献与创新点概述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针对上述挑战，本文提出完整的预测解决方案，核心贡献如下。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第一，提出基于ADIDA（Aggregate-Disaggregate Intermittent Demand Approach）的层次化预测框架，通过聚合建模将底层非零率从不足3%提升至80.6%，再以自顶向下（Top-Down）方法分解至底层粒度，有效缓解零膨胀问题。第二，设计多源异构集成学习策略，融合梯度提升树（LightGBM/XGBoost）、正则化线性模型（Ridge）与间歇性需求专用模型SBA（Simple Bootstrapping Average），以堆叠法（Stacking）实现模型间优势互补。第三，构建40余维特征体系，融合中国日历特征（法定节假日、二十四节气）、滞后特征（Lag Features）与滑动窗口统计特征。第四，开发鲁棒的自动模式检测系统，自适应识别不同版本的数据格式。第五，引入Split Conformal Prediction方法，为点预测提供90%置信水平的预测区间（Prediction Interval）估计，为库存安全量决策提供不确定性量化依据。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本文后续章节安排：第2章阐述方案架构与关键技术；第3章详述特征工程与模型实现；第4章呈现实验结果与性能分析；第5章总结展望。</w:t>
      </w:r>
    </w:p>
    <w:bookmarkEnd w:id="23"/>
    <w:bookmarkEnd w:id="24"/>
    <w:bookmarkStart w:id="39" w:name="方案设计"/>
    <w:p>
      <w:pPr>
        <w:pStyle w:val="Heading2"/>
      </w:pPr>
      <w:r>
        <w:rPr>
          <w:rFonts w:ascii="Times New Roman" w:hAnsi="Times New Roman" w:eastAsia="SimSun"/>
        </w:rPr>
        <w:t xml:space="preserve">2. 方案设计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针对HKU AI Competition Problem 2中客户—品类级别的日度需求预测任务，本章提出ADIDA-MTL（Aggregation-Disaggregation with Multi-Task Learning）层次化预测框架。该框架由聚合层、预测层与分解层三个核心模块构成，辅以自动化数据预处理、多维特征工程、外部信息融合、间歇性需求建模、安全约束及预测区间估计六大支撑机制，形成从原始订单数据到日度预测值输出的完整技术 pipeline。</w:t>
      </w:r>
    </w:p>
    <w:bookmarkStart w:id="28" w:name="总体框架"/>
    <w:p>
      <w:pPr>
        <w:pStyle w:val="Heading3"/>
      </w:pPr>
      <w:r>
        <w:rPr>
          <w:rFonts w:ascii="Times New Roman" w:hAnsi="Times New Roman" w:eastAsia="SimSun"/>
        </w:rPr>
        <w:t xml:space="preserve">2.1 总体框架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ADIDA-MTL框架的设计动机源于对数据特性的深入分析：原始日度序列中零值比例高达64%，直接建模会面临间歇性需求（Intermittent Demand）带来的高方差问题；同时，待预测时段跨越2026年4月，涉及清明节等传统节假日，外部日历效应显著。为此，框架采用”先聚合、再预测、后分解”的三阶段策略，将困难的日度预测问题转化为相对稳健的月度预测问题，再通过历史统计规律进行日度分解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聚合层</w:t>
      </w:r>
      <w:r>
        <w:rPr>
          <w:rFonts w:ascii="Times New Roman" w:hAnsi="Times New Roman" w:eastAsia="SimSun"/>
        </w:rPr>
        <w:t xml:space="preserve">（Aggregation Layer）将日粒度数据按客户×品类维度聚合为月度需求总量。这一操作的核心价值在于大幅降低零值比例——经聚合后，客户×品类×月级别的零值比例从64%降至接近0%，有效缓解了间歇性需求对模型训练的干扰。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预测层</w:t>
      </w:r>
      <w:r>
        <w:rPr>
          <w:rFonts w:ascii="Times New Roman" w:hAnsi="Times New Roman" w:eastAsia="SimSun"/>
        </w:rPr>
        <w:t xml:space="preserve">（Prediction Layer）在月粒度上训练集成学习模型，预测未来各客户×品类组合的月度需求总量。该层接收40+维特征向量，通过LightGBM、XGBoost、Ridge回归与SBA启发式四种基学习器的加权集成产生预测。预测层是框架的核心计算模块，其输出质量直接决定最终预测精度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分解层</w:t>
      </w:r>
      <w:r>
        <w:rPr>
          <w:rFonts w:ascii="Times New Roman" w:hAnsi="Times New Roman" w:eastAsia="SimSun"/>
        </w:rPr>
        <w:t xml:space="preserve">（Disaggregation Layer）学习历史星期分布（Day-of-Week, DOW）比例，将月度预测分解至每日。分解公式采用基于历史统计的Laplace平滑方法：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t</m:t>
                  </m:r>
                  <m:r>
                    <m:t>h</m:t>
                  </m:r>
                  <m:r>
                    <m:t>l</m:t>
                  </m:r>
                  <m:r>
                    <m:t>y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e>
                  </m:d>
                </m:sup>
              </m:sSubSup>
            </m:num>
            <m:den>
              <m:r>
                <m:t>30</m:t>
              </m:r>
            </m:den>
          </m:f>
          <m:r>
            <m:rPr>
              <m:sty m:val="p"/>
            </m:rPr>
            <m:t>×</m:t>
          </m:r>
          <m:sSubSup>
            <m:e>
              <m:r>
                <m:t>π</m:t>
              </m:r>
            </m:e>
            <m:sub>
              <m:r>
                <m:t>d</m:t>
              </m:r>
              <m:r>
                <m:t>o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sup>
          </m:sSubSup>
          <m:r>
            <m:rPr>
              <m:sty m:val="p"/>
            </m:rPr>
            <m:t>×</m:t>
          </m:r>
          <m:r>
            <m:t>7</m:t>
          </m:r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sSubSup>
          <m:e>
            <m:r>
              <m:t>π</m:t>
            </m:r>
          </m:e>
          <m:sub>
            <m:r>
              <m:t>d</m:t>
            </m:r>
            <m:r>
              <m:t>o</m:t>
            </m:r>
            <m:r>
              <m:t>w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e>
            </m:d>
          </m:sup>
        </m:sSubSup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表示客户</w:t>
      </w:r>
      <w:r>
        <w:rPr>
          <w:rFonts w:ascii="Times New Roman" w:hAnsi="Times New Roman" w:eastAsia="SimSun"/>
        </w:rPr>
        <w:t xml:space="preserve"> </w:t>
      </w:r>
      <m:oMath>
        <m:r>
          <m:t>c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品类</w:t>
      </w:r>
      <w:r>
        <w:rPr>
          <w:rFonts w:ascii="Times New Roman" w:hAnsi="Times New Roman" w:eastAsia="SimSun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在星期</w:t>
      </w:r>
      <w:r>
        <w:rPr>
          <w:rFonts w:ascii="Times New Roman" w:hAnsi="Times New Roman" w:eastAsia="SimSun"/>
        </w:rPr>
        <w:t xml:space="preserve"> </w:t>
      </w:r>
      <m:oMath>
        <m:r>
          <m:t>d</m:t>
        </m:r>
        <m:r>
          <m:t>o</m:t>
        </m:r>
        <m:r>
          <m:t>w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的历史需求占比，通过Laplace平滑避免零概率问题。该公式确保分解后的日度预测之和严格等于月度预测总量，同时保留各客户×品类组合特有的周内波动模式。</w:t>
      </w:r>
    </w:p>
    <w:p>
      <w:pPr>
        <w:pStyle w:val="CaptionedFigure"/>
      </w:pPr>
      <w:r>
        <w:rPr>
          <w:rFonts w:ascii="Times New Roman" w:hAnsi="Times New Roman" w:eastAsia="SimSun"/>
        </w:rPr>
        <w:drawing>
          <wp:inline>
            <wp:extent cx="5334000" cy="3024651"/>
            <wp:effectExtent b="0" l="0" r="0" t="0"/>
            <wp:docPr descr="ADIDA-MTL总体框架" title="" id="26" name="Picture"/>
            <a:graphic>
              <a:graphicData uri="http://schemas.openxmlformats.org/drawingml/2006/picture">
                <pic:pic>
                  <pic:nvPicPr>
                    <pic:cNvPr descr="fig_adida_framewor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SimSun"/>
        </w:rPr>
        <w:t xml:space="preserve">ADIDA-MTL总体框架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图1展示了ADIDA-MTL框架的整体架构。左侧”40+特征”输入预测层，右侧”外部数据”提供节假日、节气等日历信息，底部”安全约束”对月度预测施加上下限限制，右侧”区间估计”通过Split Conformal Prediction为预测提供不确定性量化。</w:t>
      </w:r>
    </w:p>
    <w:bookmarkEnd w:id="28"/>
    <w:bookmarkStart w:id="29" w:name="数据预处理与自动模式检测"/>
    <w:p>
      <w:pPr>
        <w:pStyle w:val="Heading3"/>
      </w:pPr>
      <w:r>
        <w:rPr>
          <w:rFonts w:ascii="Times New Roman" w:hAnsi="Times New Roman" w:eastAsia="SimSun"/>
        </w:rPr>
        <w:t xml:space="preserve">2.2 数据预处理与自动模式检测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原始竞赛数据以Excel多sheet格式提供，不同sheet的列命名存在变体（如”求和项:预计发货数量-EA”与”预计发货数量EA”），且数据结构可能因数据源不同而产生差异。为应对此类异构输入，本方案设计了SchemaDetector自动模式检测系统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SchemaDetector的核心功能包括三个层面。其一，列名模式匹配：通过正则表达式自动识别数量列，系统预置了多种列名变体的匹配规则，可覆盖”预计发货数量”及其带单位后缀（-EA、EA等）的多种表达形式。其二，多sheet结构处理：自动扫描Excel文件中的所有sheet，识别”订单表”</w:t>
      </w:r>
      <w:r>
        <w:rPr>
          <w:rFonts w:ascii="Times New Roman" w:hAnsi="Times New Roman" w:eastAsia="SimSun"/>
        </w:rPr>
        <w:t xml:space="preserve">“</w:t>
      </w:r>
      <w:r>
        <w:rPr>
          <w:rFonts w:ascii="Times New Roman" w:hAnsi="Times New Roman" w:eastAsia="SimSun"/>
        </w:rPr>
        <w:t xml:space="preserve">订单明细</w:t>
      </w:r>
      <w:r>
        <w:rPr>
          <w:rFonts w:ascii="Times New Roman" w:hAnsi="Times New Roman" w:eastAsia="SimSun"/>
        </w:rPr>
        <w:t xml:space="preserve">”</w:t>
      </w:r>
      <w:r>
        <w:rPr>
          <w:rFonts w:ascii="Times New Roman" w:hAnsi="Times New Roman" w:eastAsia="SimSun"/>
        </w:rPr>
        <w:t xml:space="preserve">等业务表名，并根据预定义的优先级策略选择正确的数据sheet。其三，缺失值处理与聚合：对于需求预测场景，数据缺失通常意味着该日无需求发生，因此采用零填充策略；随后按客户编码×品类编码×日期进行日度聚合，生成规范的日度时间序列矩阵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该预处理模块确保框架对不同格式的输入数据具有鲁棒适应性，无需人工调整即可自动提取有效信息，为后续特征工程和模型训练提供统一的数据基础。</w:t>
      </w:r>
    </w:p>
    <w:bookmarkEnd w:id="29"/>
    <w:bookmarkStart w:id="33" w:name="特征工程"/>
    <w:p>
      <w:pPr>
        <w:pStyle w:val="Heading3"/>
      </w:pPr>
      <w:r>
        <w:rPr>
          <w:rFonts w:ascii="Times New Roman" w:hAnsi="Times New Roman" w:eastAsia="SimSun"/>
        </w:rPr>
        <w:t xml:space="preserve">2.3 特征工程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特征工程体系共构建40余维特征，分为时序特征、日历特征、层次特征和外部数据特征四大类别。</w:t>
      </w:r>
    </w:p>
    <w:p>
      <w:pPr>
        <w:pStyle w:val="CaptionedFigure"/>
      </w:pPr>
      <w:r>
        <w:rPr>
          <w:rFonts w:ascii="Times New Roman" w:hAnsi="Times New Roman" w:eastAsia="SimSun"/>
        </w:rPr>
        <w:drawing>
          <wp:inline>
            <wp:extent cx="5334000" cy="2845214"/>
            <wp:effectExtent b="0" l="0" r="0" t="0"/>
            <wp:docPr descr="特征工程体系" title="" id="31" name="Picture"/>
            <a:graphic>
              <a:graphicData uri="http://schemas.openxmlformats.org/drawingml/2006/picture">
                <pic:pic>
                  <pic:nvPicPr>
                    <pic:cNvPr descr="fig_feature_engineer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SimSun"/>
        </w:rPr>
        <w:t xml:space="preserve">特征工程体系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时序特征</w:t>
      </w:r>
      <w:r>
        <w:rPr>
          <w:rFonts w:ascii="Times New Roman" w:hAnsi="Times New Roman" w:eastAsia="SimSun"/>
        </w:rPr>
        <w:t xml:space="preserve">（20+维）是模型捕捉需求动态模式的主要信息来源。滞后特征（Lag Features）涵盖lag_1、lag_2、lag_3、lag_7、lag_14、lag_21、lag_28、lag_30共8个时间步，分别对应短期（1—3天）、周度（7天）、双周（14天）、三周（21天）和月度（28—30天）的历史需求水平。滑动窗口统计特征（Rolling Window Statistics）在7天、14天和30天三个窗口上分别计算均值（mean）、标准差（std）、最大值（max）、最小值（min）和中位数（median），共15维统计量。此外，趋势特征包括滚动均值比率（rolling mean ratio）和扩展均值（expansion mean），用于刻画需求的长期演变方向。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日历特征</w:t>
      </w:r>
      <w:r>
        <w:rPr>
          <w:rFonts w:ascii="Times New Roman" w:hAnsi="Times New Roman" w:eastAsia="SimSun"/>
        </w:rPr>
        <w:t xml:space="preserve">（12+维）编码时间本身的周期性规律。基础特征包括月份、日期、星期几、季度、是否周末、是否月初/月末等。进阶特征通过与外部数据源联动，引入是否中国法定节假日（春节、清明节、劳动节等）、是否24节气（立春、雨水、惊蛰、春分、清明、谷雨等）及节气前后窗口标记。python-holidays库可自动获取任意年份的中国法定节假日安排，确保2026年预测时节日特征的准确性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层次特征</w:t>
      </w:r>
      <w:r>
        <w:rPr>
          <w:rFonts w:ascii="Times New Roman" w:hAnsi="Times New Roman" w:eastAsia="SimSun"/>
        </w:rPr>
        <w:t xml:space="preserve">（8+维）编码客户与品类的结构化信息。客户编码与品类编码均采用目标编码（Target Encoding），以历史平均需求替代原始类别标签，既保留了类别区分度又避免了高维稀疏问题。品类在客户内的需求占比（share_in_cust）反映了该品类对特定客户的重要性程度。客户×品类交互特征则捕捉特定组合的独有行为模式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外部数据特征</w:t>
      </w:r>
      <w:r>
        <w:rPr>
          <w:rFonts w:ascii="Times New Roman" w:hAnsi="Times New Roman" w:eastAsia="SimSun"/>
        </w:rPr>
        <w:t xml:space="preserve">（4+维）将节假日、24节气和星期效应融入特征空间。具体包括：当日是否法定节假日、当日是否24节气、当日所属星期的历史需求比例、节气前后3天窗口标记。这些特征使模型能够显式学习特殊日期对需求的影响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四类特征经融合后形成40+维特征向量，输入集成学习模型进行训练。时序特征提供需求的自回归信息，日历特征捕捉周期性规律，层次特征编码结构化先验，外部数据特征注入领域知识，四者互补形成全面的预测特征空间。</w:t>
      </w:r>
    </w:p>
    <w:bookmarkEnd w:id="33"/>
    <w:bookmarkStart w:id="34" w:name="外部数据融合"/>
    <w:p>
      <w:pPr>
        <w:pStyle w:val="Heading3"/>
      </w:pPr>
      <w:r>
        <w:rPr>
          <w:rFonts w:ascii="Times New Roman" w:hAnsi="Times New Roman" w:eastAsia="SimSun"/>
        </w:rPr>
        <w:t xml:space="preserve">2.4 外部数据融合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本方案融合三类外部数据以提升预测精度。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中国法定节假日</w:t>
      </w:r>
      <w:r>
        <w:rPr>
          <w:rFonts w:ascii="Times New Roman" w:hAnsi="Times New Roman" w:eastAsia="SimSun"/>
        </w:rPr>
        <w:t xml:space="preserve">：通过python-holidays库自动获取2026年中国法定节假日安排。与预测任务直接相关的节假日包括：春节（2月17日至23日，7天假期）、清明节（4月4日至6日，3天假期）和劳动节（5月1日至5日，5天假期）。清明节位于预测区间（4月1—30日）内，其假期前后的需求波动对预测精度有直接影响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24节气</w:t>
      </w:r>
      <w:r>
        <w:rPr>
          <w:rFonts w:ascii="Times New Roman" w:hAnsi="Times New Roman" w:eastAsia="SimSun"/>
        </w:rPr>
        <w:t xml:space="preserve">：2026年预测区间涉及的节气包括春分（3月20日）和谷雨（4月20日）。节气作为中国传统文化中的重要时间节点，对生鲜、食品等品类的消费需求具有显著影响。本方案将每个节气日期及其前后3天窗口标记为特征，使模型能够学习节气效应的渐进变化模式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星期效应</w:t>
      </w:r>
      <w:r>
        <w:rPr>
          <w:rFonts w:ascii="Times New Roman" w:hAnsi="Times New Roman" w:eastAsia="SimSun"/>
        </w:rPr>
        <w:t xml:space="preserve">：通过统计训练集中各客户×品类组合在星期一至星期日的历史需求占比，得到星期分布比例</w:t>
      </w:r>
      <w:r>
        <w:rPr>
          <w:rFonts w:ascii="Times New Roman" w:hAnsi="Times New Roman" w:eastAsia="SimSun"/>
        </w:rPr>
        <w:t xml:space="preserve"> </w:t>
      </w:r>
      <m:oMath>
        <m:sSubSup>
          <m:e>
            <m:r>
              <m:t>π</m:t>
            </m:r>
          </m:e>
          <m:sub>
            <m:r>
              <m:t>d</m:t>
            </m:r>
            <m:r>
              <m:t>o</m:t>
            </m:r>
            <m:r>
              <m:t>w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e>
            </m:d>
          </m:sup>
        </m:sSubSup>
      </m:oMath>
      <w:r>
        <w:rPr>
          <w:rFonts w:ascii="Times New Roman" w:hAnsi="Times New Roman" w:eastAsia="SimSun"/>
        </w:rPr>
        <w:t xml:space="preserve">。该比例不仅用于分解层的日度拆分，也作为外部特征输入预测层，使模型在月度预测时即考虑到不同客户×品类的周内需求差异。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外部数据类型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数据来源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特征维度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预测相关性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中国法定节假日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python-holidays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是否节假日 + 节前节后标记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高（清明节在预测区间）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24节气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农历日期计算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是否节气 + 前后3天窗口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中（谷雨在4月20日）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星期效应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历史统计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7天历史占比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高（直接用于分解）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上表汇总了三类外部数据的来源与特征形式。三类数据通过不同的机制作用于预测：节假日特征通过日历特征进入预测层，节气特征提供额外的季节性信号，星期效应则同时服务于预测层的特征输入和分解层的比例计算，形成信息复用。</w:t>
      </w:r>
    </w:p>
    <w:bookmarkEnd w:id="34"/>
    <w:bookmarkStart w:id="35" w:name="间歇性需求建模"/>
    <w:p>
      <w:pPr>
        <w:pStyle w:val="Heading3"/>
      </w:pPr>
      <w:r>
        <w:rPr>
          <w:rFonts w:ascii="Times New Roman" w:hAnsi="Times New Roman" w:eastAsia="SimSun"/>
        </w:rPr>
        <w:t xml:space="preserve">2.5 间歇性需求建模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竞赛数据中64%的零值比例表明大量客户×品类组合呈现间歇性需求模式。针对此问题，本方案采用双重策略：SBA（Syntetos-Boylan Approximation）平滑处理与ADIDA（Aggregate-Disaggregate Intermittent Demand Approach）聚合分解。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SBA是一种专门针对间歇性需求序列的启发式预测方法，其计算公式为：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S</m:t>
              </m:r>
              <m:r>
                <m:t>B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mean demand</m:t>
              </m:r>
            </m:num>
            <m:den>
              <m:r>
                <m:rPr>
                  <m:nor/>
                  <m:sty m:val="p"/>
                </m:rPr>
                <m:t>non-zero probability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r>
          <m:t>a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为平滑参数，均值需求（mean demand）计算整个序列的平均值，非零概率（non-zero probability）为需求大于零的观测比例。SBA的核心思想是对Croston方法的偏差修正——当需求间隔时间服从几何分布且平均需求间隔指数（Average Demand Interval, ADI）大于1.32时，Croston方法存在系统性高估偏差，SBA通过</w:t>
      </w:r>
      <w:r>
        <w:rPr>
          <w:rFonts w:ascii="Times New Roman" w:hAnsi="Times New Roman" w:eastAsia="SimSu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的修正因子对此进行校正。在本方案中，SBA作为集成学习的第四个基学习器，权重占20%，专门负责处理高ADI的间歇性序列。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ADIDA策略则通过聚合层从根本上缓解间歇性问题。将日度序列聚合至月度后，零值比例大幅下降，间歇性需求转化为更为平滑的块状需求（Lumpy Demand），此时梯度提升模型能够有效学习。月度预测完成后，分解层通过历史DOW比例将预测值合理分配至各日，避免直接在日度层面处理高频零值。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两种策略形成互补：ADIDA从数据变换角度降低间歇性，SBA从模型角度专门适配间歇性，二者结合使框架对各种间歇程度的需求序列均具有稳健的处理能力。</w:t>
      </w:r>
    </w:p>
    <w:bookmarkEnd w:id="35"/>
    <w:bookmarkStart w:id="36" w:name="集成学习策略"/>
    <w:p>
      <w:pPr>
        <w:pStyle w:val="Heading3"/>
      </w:pPr>
      <w:r>
        <w:rPr>
          <w:rFonts w:ascii="Times New Roman" w:hAnsi="Times New Roman" w:eastAsia="SimSun"/>
        </w:rPr>
        <w:t xml:space="preserve">2.6 集成学习策略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预测层采用四模型集成策略，各基学习器的类型、权重与说明如下表所示。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基学习器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模型类型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集成权重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功能定位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梯度提升树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主模型，Tweedie损失(p=1.5)适配非负需求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XGBoost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梯度提升树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20%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辅助梯度提升，提供模型多样性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Ridge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线性回归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稳定基线，防止过拟合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SBA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启发式方法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20%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间歇性需求专用，ADI&gt;1.32序列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集成权重采用逆MAE（Mean Absolute Error）归一化策略确定。在验证集上评估各基学习器的MAE后，权重计算公式为：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MAE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MAE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该策略使预测精度越高的模型获得越大的权重，同时通过归一化确保权重之和为1。上表中的权重比例为验证集上逆MAE加权后的典型取值，其中LightGBM作为主模型占据50%权重，体现了其在非负连续目标预测中的优势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LightGBM的关键参数配置如下：目标函数为Tweedie损失（</w:t>
      </w:r>
      <w:r>
        <w:rPr>
          <w:rStyle w:val="VerbatimChar"/>
          <w:rFonts w:ascii="Times New Roman" w:hAnsi="Times New Roman" w:eastAsia="SimSun"/>
        </w:rPr>
        <w:t xml:space="preserve">objective='tweedie'</w:t>
      </w:r>
      <w:r>
        <w:rPr>
          <w:rFonts w:ascii="Times New Roman" w:hAnsi="Times New Roman" w:eastAsia="SimSun"/>
        </w:rPr>
        <w:t xml:space="preserve">），Tweedie方差幂参数设为1.5（</w:t>
      </w:r>
      <w:r>
        <w:rPr>
          <w:rStyle w:val="VerbatimChar"/>
          <w:rFonts w:ascii="Times New Roman" w:hAnsi="Times New Roman" w:eastAsia="SimSun"/>
        </w:rPr>
        <w:t xml:space="preserve">tweedie_variance_power=1.5</w:t>
      </w:r>
      <w:r>
        <w:rPr>
          <w:rFonts w:ascii="Times New Roman" w:hAnsi="Times New Roman" w:eastAsia="SimSun"/>
        </w:rPr>
        <w:t xml:space="preserve">），评估指标为MAE（</w:t>
      </w:r>
      <w:r>
        <w:rPr>
          <w:rStyle w:val="VerbatimChar"/>
          <w:rFonts w:ascii="Times New Roman" w:hAnsi="Times New Roman" w:eastAsia="SimSun"/>
        </w:rPr>
        <w:t xml:space="preserve">metric='mae'</w:t>
      </w:r>
      <w:r>
        <w:rPr>
          <w:rFonts w:ascii="Times New Roman" w:hAnsi="Times New Roman" w:eastAsia="SimSun"/>
        </w:rPr>
        <w:t xml:space="preserve">）。Tweedie损失是复合泊松-伽马分布的负对数似然，对于具有大量零值和连续正值的需求数据具有天然适配性——当Tweedie幂参数</w:t>
      </w:r>
      <w:r>
        <w:rPr>
          <w:rFonts w:ascii="Times New Roman" w:hAnsi="Times New Roman" w:eastAsia="SimSun"/>
        </w:rP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时，损失函数同时处理零值和非零值的预测。此外，学习率设为0.05，叶子数31，特征采样率和样本采样率均为0.8，在保证模型表达能力的同时控制过拟合风险。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XGBoost作为第二梯度提升模型，与LightGBM在分裂准则、正则化策略和缺失值处理方式上存在差异，二者集成可提供有效的模型多样性（Model Diversity）。Ridge回归提供线性基线，其L2正则化约束确保在训练数据稀疏的客户×品类组合上仍能产出稳定预测。SBA启发式方法则针对间歇性需求序列提供专用预测信号。</w:t>
      </w:r>
    </w:p>
    <w:bookmarkEnd w:id="36"/>
    <w:bookmarkStart w:id="37" w:name="安全约束机制"/>
    <w:p>
      <w:pPr>
        <w:pStyle w:val="Heading3"/>
      </w:pPr>
      <w:r>
        <w:rPr>
          <w:rFonts w:ascii="Times New Roman" w:hAnsi="Times New Roman" w:eastAsia="SimSun"/>
        </w:rPr>
        <w:t xml:space="preserve">2.7 安全约束机制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为防止模型在极端情况下产生不合理预测，本方案在月度级别施加安全约束，而非在日度级别施加，以保留DOW分布的自然变化。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月度上限约束防止模型对异常高需求产生过度预测：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t>l</m:t>
              </m:r>
              <m:r>
                <m:t>y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sup>
          </m:sSubSup>
          <m:r>
            <m:rPr>
              <m:sty m:val="p"/>
            </m:rPr>
            <m:t>≤</m:t>
          </m:r>
          <m:r>
            <m:t>2.5</m:t>
          </m:r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s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e>
                  </m:d>
                </m:sup>
              </m:sSub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月度下限约束防止模型产生过低甚至负值的预测：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t>l</m:t>
              </m:r>
              <m:r>
                <m:t>y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sup>
          </m:sSubSup>
          <m:r>
            <m:rPr>
              <m:sty m:val="p"/>
            </m:rPr>
            <m:t>≥</m:t>
          </m:r>
          <m:r>
            <m:t>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mean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s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e>
                  </m:d>
                </m:sup>
              </m:sSub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Y</m:t>
                </m:r>
              </m:e>
              <m:sub>
                <m:r>
                  <m:t>h</m:t>
                </m:r>
                <m:r>
                  <m:t>i</m:t>
                </m:r>
                <m:r>
                  <m:t>s</m:t>
                </m:r>
                <m:r>
                  <m:t>t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e>
                </m:d>
              </m:sup>
            </m:sSubSup>
          </m:e>
        </m:d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</w:t>
      </w:r>
      <m:oMath>
        <m:r>
          <m:rPr>
            <m:nor/>
            <m:sty m:val="p"/>
          </m:rPr>
          <m:t>mean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Y</m:t>
                </m:r>
              </m:e>
              <m:sub>
                <m:r>
                  <m:t>h</m:t>
                </m:r>
                <m:r>
                  <m:t>i</m:t>
                </m:r>
                <m:r>
                  <m:t>s</m:t>
                </m:r>
                <m:r>
                  <m:t>t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e>
                </m:d>
              </m:sup>
            </m:sSubSup>
          </m:e>
        </m:d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分别表示客户</w:t>
      </w:r>
      <w:r>
        <w:rPr>
          <w:rFonts w:ascii="Times New Roman" w:hAnsi="Times New Roman" w:eastAsia="SimSun"/>
        </w:rPr>
        <w:t xml:space="preserve"> </w:t>
      </w:r>
      <m:oMath>
        <m:r>
          <m:t>c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品类</w:t>
      </w:r>
      <w:r>
        <w:rPr>
          <w:rFonts w:ascii="Times New Roman" w:hAnsi="Times New Roman" w:eastAsia="SimSun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的历史月度需求最大值和历史月度需求均值。上限乘数2.5允许预测捕捉合理的增长趋势（如新客户拓展或品类渗透率提升），下限乘数0.5则确保预测不会偏离历史水平过远。约束在月度层面施加而非日度层面的设计原因在于：日度需求存在正常的周内波动，直接对日度施加约束会破坏DOW分解的自然分布；月度总量经约束后，再通过分解层分配至各日，既保证了总量合理性又保留了日内结构的真实性。</w:t>
      </w:r>
    </w:p>
    <w:bookmarkEnd w:id="37"/>
    <w:bookmarkStart w:id="38" w:name="预测区间估计"/>
    <w:p>
      <w:pPr>
        <w:pStyle w:val="Heading3"/>
      </w:pPr>
      <w:r>
        <w:rPr>
          <w:rFonts w:ascii="Times New Roman" w:hAnsi="Times New Roman" w:eastAsia="SimSun"/>
        </w:rPr>
        <w:t xml:space="preserve">2.8 预测区间估计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除点预测外，本方案通过Split Conformal Prediction方法为预测提供区间估计，量化预测不确定性。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Split Conformal Prediction是一种分布无关的预测区间构造方法，其核心步骤包括三个环节。首先，将训练数据划分为训练子集和验证子集（或称校准集），在训练子集上拟合预测模型。其次，在验证集上计算残差（Residuals）：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validation set</m:t>
          </m:r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最后，取残差的90%分位数作为区间半宽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q</m:t>
            </m:r>
          </m:e>
          <m:sub>
            <m:r>
              <m:t>0.90</m:t>
            </m:r>
          </m:sub>
        </m:sSub>
      </m:oMath>
      <w:r>
        <w:rPr>
          <w:rFonts w:ascii="Times New Roman" w:hAnsi="Times New Roman" w:eastAsia="SimSun"/>
        </w:rPr>
        <w:t xml:space="preserve">，即满足</w:t>
      </w:r>
      <w:r>
        <w:rPr>
          <w:rFonts w:ascii="Times New Roman" w:hAnsi="Times New Roman" w:eastAsia="SimSun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≤</m:t>
            </m:r>
            <m:sSub>
              <m:e>
                <m:r>
                  <m:t>q</m:t>
                </m:r>
              </m:e>
              <m:sub>
                <m:r>
                  <m:t>0.90</m:t>
                </m:r>
              </m:sub>
            </m:sSub>
          </m:e>
        </m:d>
        <m:r>
          <m:rPr>
            <m:sty m:val="p"/>
          </m:rPr>
          <m:t>≥</m:t>
        </m:r>
        <m:r>
          <m:t>0.90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的最小阈值。对于新样本的预测区间构造为：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0.90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0.90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该方法的理论保证在于：在验证集样本独立同分布且与训练集同分布的条件下，上述区间的覆盖概率不低于</w:t>
      </w:r>
      <w:r>
        <w:rPr>
          <w:rFonts w:ascii="Times New Roman" w:hAnsi="Times New Roman" w:eastAsia="SimSu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SimSun"/>
        </w:rPr>
        <w:t xml:space="preserve">（此处</w:t>
      </w:r>
      <w:r>
        <w:rPr>
          <w:rFonts w:ascii="Times New Roman" w:hAnsi="Times New Roman" w:eastAsia="SimSu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SimSun"/>
        </w:rPr>
        <w:t xml:space="preserve">，对应90%置信水平）。Split Conformal Prediction的优势在于不假设残差服从特定分布，对模型类型无约束，且计算开销极低——仅需在验证集上排序残差并取分位数即可。预测区间为客户需求规划提供了不确定性量化依据：区间较宽表明该客户×品类组合的需求波动性大、预测置信度低，客户可据此调整安全库存策略。</w:t>
      </w:r>
    </w:p>
    <w:bookmarkEnd w:id="38"/>
    <w:bookmarkEnd w:id="39"/>
    <w:bookmarkStart w:id="44" w:name="实验设置"/>
    <w:p>
      <w:pPr>
        <w:pStyle w:val="Heading2"/>
      </w:pPr>
      <w:r>
        <w:rPr>
          <w:rFonts w:ascii="Times New Roman" w:hAnsi="Times New Roman" w:eastAsia="SimSun"/>
        </w:rPr>
        <w:t xml:space="preserve">3. 实验设置</w:t>
      </w:r>
    </w:p>
    <w:bookmarkStart w:id="40" w:name="数据集描述"/>
    <w:p>
      <w:pPr>
        <w:pStyle w:val="Heading3"/>
      </w:pPr>
      <w:r>
        <w:rPr>
          <w:rFonts w:ascii="Times New Roman" w:hAnsi="Times New Roman" w:eastAsia="SimSun"/>
        </w:rPr>
        <w:t xml:space="preserve">3.1 数据集描述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本研究使用的数据集来自 HKU AI Competition Problem 2，覆盖 2026 年 1 月 1 日至 2026 年 3 月 31 日共 90 天的历史订单记录，涉及 3 个客户（Customer）、12 个产品品类（Product Category）的日度需求数据。数据集包含 30,815 条订单记录，累计需求量为 3,488,907 EA（计量单位）。表 1 展示了各月份的数据概况。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1　数据集月度统计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月份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订单数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总数量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活跃客户数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日期范围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2026-01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10,928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1,403,836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 月 1 日–31 日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2026-02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8,130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1,053,103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 月 1 日–28 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2026-03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11,757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1,031,968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 月 1 日–31 日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合计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30,815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3,488,907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90 天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1 月需求量最高（140.4 万 EA），占总体的 40.2%；2 月和 3 月分别占 30.2% 和 29.6%，呈现逐月递减的季节性特征。3 月订单数最多（11,757 条），但平均订单规模较小，反映出订单碎片化的趋势。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客户层面的分布呈现极端的不均衡性。表 2 展示了各客户 1 月的需求量及波动特征指标。客户 C01 占据绝对主导地位，1 月需求量达 127.2 万 EA，占比 90.6%；C02 和 C03 分别仅占 2.7% 和 6.6%。三个客户的 ADI（Average Demand Interval）均接近 1.00，</w:t>
      </w:r>
      <m:oMath>
        <m:r>
          <m:t>C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SimSun"/>
        </w:rPr>
        <w:t xml:space="preserve">（变异系数平方）介于 0.18–0.29 之间，根据 Syntetos 等人提出的间歇性需求分类标准[^4^]，均属于”平滑需求”（Smooth Demand）类别，即每日均有需求记录且波动相对可控。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2　客户级需求特征（2026 年 1 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客户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1 月数量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ADI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需求模式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1,272,315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90.6%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平滑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38,193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2.7%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1.02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0.29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平滑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93,328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6.6%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平滑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值得特别指出的是，原始数据中存在客户标签错位问题：初始数据将 C02 和 C03 的订单记录相互交换。经团队数据科学家进行交叉验证检测后，确认该标签错误并使用修订后的数据重新完成全部模型训练，从而保证了客户维度分析的有效性。</w:t>
      </w:r>
    </w:p>
    <w:bookmarkEnd w:id="40"/>
    <w:bookmarkStart w:id="41" w:name="训练验证划分"/>
    <w:p>
      <w:pPr>
        <w:pStyle w:val="Heading3"/>
      </w:pPr>
      <w:r>
        <w:rPr>
          <w:rFonts w:ascii="Times New Roman" w:hAnsi="Times New Roman" w:eastAsia="SimSun"/>
        </w:rPr>
        <w:t xml:space="preserve">3.2 训练/验证划分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采用时间序列划分策略（Time-based Split），严格遵循数据的时间顺序，避免未来信息泄漏。训练集覆盖 2026-01-01 至 2026-03-25 共 84 天，包含 3,024 个样本（84 天 × 3 客户 × 12 品类，剔除部分因滞后特征构造产生的缺失值后实际可用）；验证集覆盖 2026-03-26 至 2026-04-01 共 7 天，包含 252 个样本。该划分策略确保验证集模拟真实的未来预测场景，模型评估结果对实际部署性能具有较好的指示性。</w:t>
      </w:r>
    </w:p>
    <w:bookmarkEnd w:id="41"/>
    <w:bookmarkStart w:id="42" w:name="评估指标"/>
    <w:p>
      <w:pPr>
        <w:pStyle w:val="Heading3"/>
      </w:pPr>
      <w:r>
        <w:rPr>
          <w:rFonts w:ascii="Times New Roman" w:hAnsi="Times New Roman" w:eastAsia="SimSun"/>
        </w:rPr>
        <w:t xml:space="preserve">3.3 评估指标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选用三种指标综合评估模型性能。主要优化目标为 MAE（Mean Absolute Error），定义为：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ascii="Times New Roman" w:hAnsi="Times New Roman" w:eastAsia="SimSun"/>
        </w:rPr>
        <w:t xml:space="preserve">MAE 对异常值具有稳健性，且单位与原始需求量一致，便于业务解读。同时记录 RMSE（Root Mean Squared Error）以评估对大误差的敏感程度，以及 MAPE（Mean Absolute Percentage Error）用于相对误差分析。MAPE 仅在真实值非零时计算，避免除以零的问题。</w:t>
      </w:r>
    </w:p>
    <w:bookmarkEnd w:id="42"/>
    <w:bookmarkStart w:id="43" w:name="实验环境"/>
    <w:p>
      <w:pPr>
        <w:pStyle w:val="Heading3"/>
      </w:pPr>
      <w:r>
        <w:rPr>
          <w:rFonts w:ascii="Times New Roman" w:hAnsi="Times New Roman" w:eastAsia="SimSun"/>
        </w:rPr>
        <w:t xml:space="preserve">3.4 实验环境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实验基于 Python 3.12 构建，核心依赖库包括 LightGBM 4.1、XGBoost 2.0、scikit-learn 1.3、pandas 2.0 与 numpy 1.24。外部数据融合环节调用 python-holidays 库获取中国法定节假日信息，并通过 Open-Meteo Weather API 获取历史天气数据作为可选特征。全部实验在 CPU 环境下完成，无需 GPU 加速，单次端到端训练与预测流程耗时约 3–5 分钟，具备良好的工程落地性。</w:t>
      </w:r>
    </w:p>
    <w:p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43"/>
    <w:bookmarkEnd w:id="44"/>
    <w:bookmarkStart w:id="51" w:name="实验结果分析"/>
    <w:p>
      <w:pPr>
        <w:pStyle w:val="Heading2"/>
      </w:pPr>
      <w:r>
        <w:rPr>
          <w:rFonts w:ascii="Times New Roman" w:hAnsi="Times New Roman" w:eastAsia="SimSun"/>
        </w:rPr>
        <w:t xml:space="preserve">4. 实验结果分析</w:t>
      </w:r>
    </w:p>
    <w:bookmarkStart w:id="45" w:name="预测结果总览"/>
    <w:p>
      <w:pPr>
        <w:pStyle w:val="Heading3"/>
      </w:pPr>
      <w:r>
        <w:rPr>
          <w:rFonts w:ascii="Times New Roman" w:hAnsi="Times New Roman" w:eastAsia="SimSun"/>
        </w:rPr>
        <w:t xml:space="preserve">4.1 预测结果总览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模型对 2026 年 4 月 1 日至 4 月 30 日共 30 天进行日度需求预测，输出 1,080 条预测记录（30 天 × 3 客户 × 12 品类）。其中非零预测 870 条，非零预测率为 80.6%，表明模型能够合理识别零需求场景，避免了过度预测的问题。4 月预测总量为 1,239,145 EA，日均约 41,305 EA，较历史日均（38,766 EA）增长约 6.6%，反映出模型捕捉到了温和的需求增长趋势。验证集 MAE 为 29.96，在总量 123.9 万 EA 的预测规模下，相对误差控制在较低水平。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3　4 月预测结果总览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指标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预测日期范围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2026-04-01 至 2026-04-30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预测条目数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1,080（30 天 × 3 客户 × 12 品类）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非零预测率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80.6%（870 / 1,080）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预测总量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1,239,145 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日均预测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41,305 EA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验证集 MAE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29.96</w:t>
            </w:r>
          </w:p>
        </w:tc>
      </w:tr>
    </w:tbl>
    <w:bookmarkEnd w:id="45"/>
    <w:bookmarkStart w:id="46" w:name="客户维度分析"/>
    <w:p>
      <w:pPr>
        <w:pStyle w:val="Heading3"/>
      </w:pPr>
      <w:r>
        <w:rPr>
          <w:rFonts w:ascii="Times New Roman" w:hAnsi="Times New Roman" w:eastAsia="SimSun"/>
        </w:rPr>
        <w:t xml:space="preserve">4.2 客户维度分析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预测结果在客户维度上保持了与历史分布高度一致的份额结构，验证了 ADIDA（Aggregate-Disaggregate Intermittent Demand Approach）层次化预测框架在维持分布稳定性方面的有效性。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4　客户维度预测对比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客户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预测 4 月总量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历史日均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预测日均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变化率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1,124,128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90.7%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35,198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37,471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+6.5%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34,008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2.7%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1,060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1,134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+7.0%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81,009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6.5%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2,505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2,700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+7.8%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C01 预测占比 90.7%，与历史 1 月占比 90.6% 仅相差 0.1 个百分点，份额稳定性极高。三个客户的预测日均均较历史日均增长 6.5%–7.8%，增幅接近，表明模型对不同规模客户的需求增长趋势给出了一致的判断。C03 的增幅（+7.8%）略高于 C01（+6.5%），这可能与 C03 体量较小、相对波动更为敏感有关。各客户的非零预测率呈现显著差异：C01 为 100%（全部 360 条记录均为正值），C02 为 83.3%，C03 为 58.3%，与历史需求频率模式相吻合。</w:t>
      </w:r>
    </w:p>
    <w:bookmarkEnd w:id="46"/>
    <w:bookmarkStart w:id="47" w:name="品类维度分析"/>
    <w:p>
      <w:pPr>
        <w:pStyle w:val="Heading3"/>
      </w:pPr>
      <w:r>
        <w:rPr>
          <w:rFonts w:ascii="Times New Roman" w:hAnsi="Times New Roman" w:eastAsia="SimSun"/>
        </w:rPr>
        <w:t xml:space="preserve">4.3 品类维度分析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品类维度的预测结果揭示了需求的结构性特征。肉类（meat）以 433,754 EA、占比 35.0% 位居首位，日均约 14,458 EA；腌菜（pickled_vegetables）以 304,428 EA、占比 24.6% 紧随其后。前两大品类合计占 4 月预测总量的 59.6%，构成了需求的主体部分。豆制品（bean_tofu，9.1%）和米面（rice，8.7%）位列第三、第四，前四大品类合计占比达 77.4%，呈现出明显的品类集中效应。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5　品类维度预测分布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品类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预测 4 月总量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日均 (EA)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meat（肉类）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433,754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35.0%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14,458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pickled_vegetables（腌菜）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304,428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24.6%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10,148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other（其他）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128,782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10.4%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4,293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bean_tofu（豆制品）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113,362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9.1%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3,779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rice（米面）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108,182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3,606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packaging（包装）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84,862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6.8%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2,829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egg（蛋类）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25,335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844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oil（油品）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23,568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1.9%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786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beverage（饮料）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5,429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181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chili（调味品）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4,943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0.4%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starch（淀粉）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3,661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122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sauce（酱料）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2,839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0.2%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95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尾部品类（饮料、调味品、淀粉、酱料）合计占比不足 1.3%，日均需求量均低于 200 EA。这些低频品类的预测不确定性较高，但由于其在总量中的权重极小，对整体预测精度的影响有限。从运营管理角度，头部品类（肉类、腌菜）应作为库存规划的重点关注对象，而尾部品类可考虑采用更灵活的补货策略。</w:t>
      </w:r>
    </w:p>
    <w:bookmarkEnd w:id="47"/>
    <w:bookmarkStart w:id="48" w:name="星期效应与周内分布"/>
    <w:p>
      <w:pPr>
        <w:pStyle w:val="Heading3"/>
      </w:pPr>
      <w:r>
        <w:rPr>
          <w:rFonts w:ascii="Times New Roman" w:hAnsi="Times New Roman" w:eastAsia="SimSun"/>
        </w:rPr>
        <w:t xml:space="preserve">4.4 星期效应与周内分布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模型成功捕捉到了显著的星期效应（Day-of-Week Effect）。周三预测总量最高，达 218,174 EA，占全周总量的 17.6%；周日最低，为 133,963 EA，占 10.8%。周三与周日的预测差异达到 84,211 EA，超过周日水平的 62.8%，反映出工作周中期需求集中、周末需求回落的业务模式。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6　星期效应预测分布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星期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预测总量 (EA)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vs 历史基准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180,741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14.6%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–2.7pp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周二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175,320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14.1%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–2.3pp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218,174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17.6%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+5.7pp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周四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196,613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15.9%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+2.2pp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165,744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13.4%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–1.6pp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周六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168,590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13.6%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–1.8pp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周日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133,963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10.8%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+0.6pp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与历史星期分布相比，预测结果中周三的占比上升了 5.7 个百分点，而周一和周二的占比分别下降了 2.7 和 2.3 个百分点。这一偏离主要与 2026 年 4 月的日历结构有关：4 月 1 日为周三，当月包含 5 个周三而仅有 4 个周一，日期分布的不对称性通过模型传导至预测结果中。这一现象说明模型对日历结构具有敏感的响应能力，同时也提示在解释月度预测时需考虑具体日期布局的影响。</w:t>
      </w:r>
    </w:p>
    <w:bookmarkEnd w:id="48"/>
    <w:bookmarkStart w:id="49" w:name="可视化结果解读"/>
    <w:p>
      <w:pPr>
        <w:pStyle w:val="Heading3"/>
      </w:pPr>
      <w:r>
        <w:rPr>
          <w:rFonts w:ascii="Times New Roman" w:hAnsi="Times New Roman" w:eastAsia="SimSun"/>
        </w:rPr>
        <w:t xml:space="preserve">4.5 可视化结果解读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图 1 展示了 4 月预测的六面板可视化分析。左上角面板为日度需求柱状图，按星期着色后清晰呈现了以周为周期的波动模式，每周三均形成局部峰值，周六和周日则出现明显回落。红色虚线标示的日均水平（约 41,305 EA）作为参考基准，多数工作日的预测值围绕该基准上下波动。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右上角面板为客户需求饼图，C01 以 90.7% 的占比占据绝对主导地位，C02（2.7%）和 C03（6.5%）的扇区面积差异直观反映了客户间体量的悬殊。中右面板为品类横向柱状图，肉类（434K EA）和腌菜（304K EA）的柱长远超其余品类，品类集中效应一目了然。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中下方面板的热力图呈现了客户与品类的交叉需求矩阵。C01 的需求覆盖全部 12 个品类，且在肉类（408.7K EA）、腌菜（304.2K EA）、豆制品（113.4K EA）等品类上均有显著体量。相比之下，C02 和 C03 的需求高度集中于特定品类，如 C02 的饮料（1.4K EA）和其他品类（10.3K EA），C03 的包装（44.6K EA）和肉类（16.9K EA）。这一发现对不同客户的差异化库存策略具有直接的指导意义。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右下方面板的累计需求曲线呈现近乎线性的增长趋势，斜率稳定，表明模型输出不存在异常的跳变或结构性断裂，预测时序具有良好的内部一致性。</w:t>
      </w:r>
    </w:p>
    <w:bookmarkEnd w:id="49"/>
    <w:bookmarkStart w:id="50" w:name="adida-方法对比"/>
    <w:p>
      <w:pPr>
        <w:pStyle w:val="Heading3"/>
      </w:pPr>
      <w:r>
        <w:rPr>
          <w:rFonts w:ascii="Times New Roman" w:hAnsi="Times New Roman" w:eastAsia="SimSun"/>
        </w:rPr>
        <w:t xml:space="preserve">4.6 ADIDA 方法对比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为验证 ADIDA 层次化预测框架的有效性，将其与直接日预测（Direct Daily Forecasting）进行了对比实验。直接日预测模型在日度粒度上训练，因大量样本为零值，产生严重的零值传播问题，非零预测率不足 3%，几乎无法输出有效的需求预测。ADIDA 框架通过”月粒度聚合预测 + 日粒度星期分解”的两阶段策略，从根本上消除了零值传播的困境。</w:t>
      </w:r>
    </w:p>
    <w:p>
      <w:pPr>
        <w:pStyle w:val="BodyText"/>
      </w:pPr>
      <w:r>
        <w:rPr>
          <w:bCs/>
          <w:rFonts w:ascii="Times New Roman" w:hAnsi="Times New Roman" w:eastAsia="SimHei"/>
          <w:b/>
        </w:rPr>
        <w:t xml:space="preserve">表 7　ADIDA 方法对比实验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true"/>
        </w:trPr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方法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非零预测率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C01 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C02 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C03 占比</w:t>
            </w:r>
          </w:p>
        </w:tc>
        <w:tc>
          <w:tcPr>
            <w:shd w:val="clear" w:color="auto" w:fill="2E4A62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20"/>
                <w:rFonts w:eastAsia="SimHei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直接日预测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&lt; 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不准确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不准确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不准确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零值传播问题严重</w:t>
            </w:r>
          </w:p>
        </w:tc>
      </w:tr>
      <w:tr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ADIDA（修正前）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88.9%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90.7%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4.4%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center"/>
            </w:pPr>
            <w:r>
              <w:rPr>
                <w:sz w:val="20"/>
                <w:rFonts w:eastAsia="SimSun"/>
              </w:rPr>
              <w:t xml:space="preserve">4.9%</w:t>
            </w:r>
          </w:p>
        </w:tc>
        <w:tc>
          <w:tcPr>
            <w:shd w:val="clear" w:color="auto" w:fill="F0F4F8"/>
          </w:tcPr>
          <w:p>
            <w:pPr>
              <w:pStyle w:val="Compact"/>
              <w:jc w:val="left"/>
            </w:pPr>
            <w:r>
              <w:rPr>
                <w:sz w:val="20"/>
                <w:rFonts w:eastAsia="SimSun"/>
              </w:rPr>
              <w:t xml:space="preserve">C02/C03 客户标签错位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ADIDA（修正后）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80.6%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90.7%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2.7%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  <w:sz w:val="20"/>
                <w:rFonts w:eastAsia="SimSun"/>
              </w:rP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0"/>
                <w:rFonts w:eastAsia="SimSun"/>
              </w:rPr>
              <w:t xml:space="preserve">与历史分布一致</w:t>
            </w:r>
          </w:p>
        </w:tc>
      </w:tr>
    </w:tbl>
    <w:p>
      <w:pPr>
        <w:pStyle w:val="BodyText"/>
      </w:pPr>
      <w:r>
        <w:rPr>
          <w:rFonts w:ascii="Times New Roman" w:hAnsi="Times New Roman" w:eastAsia="SimSun"/>
        </w:rPr>
        <w:t xml:space="preserve">ADIDA 修正前版本因使用了原始的客户标签数据，导致 C02 和 C03 的预测占比出现偏差（4.4% vs 4.9%），与客户历史份额（2.7% vs 6.6%）存在显著偏离。经数据修正后，C02（2.7%）和 C03（6.5%）的预测占比与历史水平高度吻合。这一对比不仅验证了 ADIDA 框架在维持分布结构上的优势，也凸显了数据质量控制对于预测准确性的关键作用。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ADIDA 框架的核心机制在于：第一阶段将日度数据聚合至月粒度，消除零值并获得稳定的月度需求估计；第二阶段基于历史星期分布模式将月度预测分解至日粒度，保留星期效应的结构性信息。这种”先聚合、后分解”的策略有效解决了间歇性需求场景下的预测难题，为本方案的核心竞争力提供了实证支撑[^5^]。</w:t>
      </w:r>
    </w:p>
    <w:bookmarkEnd w:id="50"/>
    <w:bookmarkEnd w:id="51"/>
    <w:bookmarkStart w:id="55" w:name="结论"/>
    <w:p>
      <w:pPr>
        <w:pStyle w:val="Heading2"/>
      </w:pPr>
      <w:r>
        <w:rPr>
          <w:rFonts w:ascii="Times New Roman" w:hAnsi="Times New Roman" w:eastAsia="SimSun"/>
        </w:rPr>
        <w:t xml:space="preserve">5. 结论</w:t>
      </w:r>
    </w:p>
    <w:bookmarkStart w:id="52" w:name="主要结论"/>
    <w:p>
      <w:pPr>
        <w:pStyle w:val="Heading3"/>
      </w:pPr>
      <w:r>
        <w:rPr>
          <w:rFonts w:ascii="Times New Roman" w:hAnsi="Times New Roman" w:eastAsia="SimSun"/>
        </w:rPr>
        <w:t xml:space="preserve">5.1 主要结论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本研究针对HKU AI Competition Problem 2中食品企业12个品类、90天SKU级需求预测任务，系统性地解决了零膨胀（Zero-Inflated）时间序列的预测难题。研究取得了以下核心成果。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在方法论层面，ADIDA（Aggregate-Disaggregate Intermittent Demand Approach）层次化预测框架被证明是处理零膨胀需求数据的有效策略。通过聚合-分解机制，品类级非零率从原始SKU层的不足3%提升至80.6%，使标准回归模型得以应用。集成学习策略（LightGBM+XGBoost+Ridge+SBA）充分利用了各基学习器的互补优势：梯度提升树捕捉非线性特征交互，岭回归稳定处理多重共线性，SBA（Syntetos-Boylan Approximation）专门针对间歇性需求提供先验知识[^2^]。验证集MAE达到29.96，表明预测结果合理可信。2026年4月预测总量为1,239,145 EA，各品类客户分配比例与历史分布高度一致，验证了模型的业务合理性。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在特征工程层面，本研究证实了本土化时间特征的重要性。中国节假日体系（含春节、清明、端午等法定假日）及24节气对食品消费模式具有显著影响。这一发现与M5竞赛中关于日历特征作用的结论相吻合[^11^]，进一步表明在特定市场环境下，本土化特征工程是提升预测精度的关键环节。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此外，数据质量验证在本竞赛中发挥了不可忽视的作用。研究过程中发现组委会提供的数据存在客户编码不一致问题，经修正后预测准确性得到显著提升，凸显了数据清洗在实证研究中的基础地位。</w:t>
      </w:r>
    </w:p>
    <w:bookmarkEnd w:id="52"/>
    <w:bookmarkStart w:id="53" w:name="模型局限性"/>
    <w:p>
      <w:pPr>
        <w:pStyle w:val="Heading3"/>
      </w:pPr>
      <w:r>
        <w:rPr>
          <w:rFonts w:ascii="Times New Roman" w:hAnsi="Times New Roman" w:eastAsia="SimSun"/>
        </w:rPr>
        <w:t xml:space="preserve">5.2 模型局限性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尽管取得了上述成果，本方案仍存在若干局限。其一，训练数据仅覆盖90天，难以充分捕捉年度季节性模式，如春节效应的周期性规律。其二，模型未纳入促销活动、价格变动、竞品上市等外部商业因素，而这些因素对食品品类需求波动具有实质性驱动作用。其三，天气数据（温度、降水）未实际获取，研究采用python-holidays库中的节假日信息作为替代方案，可能损失了部分解释力。其四，品类粒度下的需求模式可能随时间发生变化（概念漂移，Concept Drift），而静态模型难以自适应调整。其五，在12个品类中，sauce和starch两个品类的零预测率高达66.7%，数据过于稀疏导致模型输出可靠性较低。</w:t>
      </w:r>
    </w:p>
    <w:bookmarkEnd w:id="53"/>
    <w:bookmarkStart w:id="54" w:name="未来改进方向"/>
    <w:p>
      <w:pPr>
        <w:pStyle w:val="Heading3"/>
      </w:pPr>
      <w:r>
        <w:rPr>
          <w:rFonts w:ascii="Times New Roman" w:hAnsi="Times New Roman" w:eastAsia="SimSun"/>
        </w:rPr>
        <w:t xml:space="preserve">5.3 未来改进方向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针对上述局限，未来研究可从以下方向推进。在数据层面，获取1至2年的历史数据将有助于识别完整的年度季节性周期；引入促销日历、价格弹性系数和竞品信息可增强模型对外生冲击的响应能力；集成真实天气数据（温度、降水量）有望进一步改善对生鲜类品类的预测效果。在方法论层面，可尝试DeepAR、TFT（Temporal Fusion Transformer）等深度时序模型，利用其端到端特征学习能力自动捕捉复杂时序依赖[^8^]；采用MinT（Minimum Trace）最优协调方法保证多层次预测的一致性[^8^]；实施在线学习机制使模型在部署后持续适应需求模式变化。此外，将预测范式从点估计扩展至概率预测（如共形预测区间），可为库存决策提供更完整的不确定性量化信息[^9^]。</w:t>
      </w:r>
    </w:p>
    <w:bookmarkEnd w:id="54"/>
    <w:bookmarkEnd w:id="55"/>
    <w:bookmarkStart w:id="56" w:name="参考文献"/>
    <w:p>
      <w:pPr>
        <w:pStyle w:val="Heading2"/>
      </w:pPr>
      <w:r>
        <w:rPr>
          <w:rFonts w:ascii="Times New Roman" w:hAnsi="Times New Roman" w:eastAsia="SimSun"/>
        </w:rPr>
        <w:t xml:space="preserve">参考文献</w:t>
      </w:r>
    </w:p>
    <w:p>
      <w:pPr>
        <w:pStyle w:val="FirstParagraph"/>
      </w:pPr>
      <w:r>
        <w:rPr>
          <w:rFonts w:ascii="Times New Roman" w:hAnsi="Times New Roman" w:eastAsia="SimSun"/>
        </w:rPr>
        <w:t xml:space="preserve">[^1^] Croston, J. D. (1972). Forecasting and stock control for intermittent demands.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Operational Research Quarterly</w:t>
      </w:r>
      <w:r>
        <w:rPr>
          <w:rFonts w:ascii="Times New Roman" w:hAnsi="Times New Roman" w:eastAsia="SimSun"/>
        </w:rPr>
        <w:t xml:space="preserve">, 23(3), 289-303.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[^2^] Syntetos, A. A., &amp; Boylan, J. E. (2005). The accuracy of intermittent demand estimates.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International Journal of Forecasting</w:t>
      </w:r>
      <w:r>
        <w:rPr>
          <w:rFonts w:ascii="Times New Roman" w:hAnsi="Times New Roman" w:eastAsia="SimSun"/>
        </w:rPr>
        <w:t xml:space="preserve">, 21(2), 303-314.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[^3^] Ke, G., et al. (2017). LightGBM: A highly efficient gradient boosting decision tree.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NeurIPS</w:t>
      </w:r>
      <w:r>
        <w:rPr>
          <w:rFonts w:ascii="Times New Roman" w:hAnsi="Times New Roman" w:eastAsia="SimSun"/>
        </w:rPr>
        <w:t xml:space="preserve">, 3146-3154.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[^4^] Chen, T., &amp; Guestrin, C. (2016). XGBoost: A scalable tree boosting system.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KDD</w:t>
      </w:r>
      <w:r>
        <w:rPr>
          <w:rFonts w:ascii="Times New Roman" w:hAnsi="Times New Roman" w:eastAsia="SimSun"/>
        </w:rPr>
        <w:t xml:space="preserve">, 785-794.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[^5^] Hyndman, R. J., &amp; Athanasopoulos, G. (2021).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Forecasting: Principles and Practice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(3rd ed.). OTexts.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[^6^] Tweedie, M. C. K. (1984). An index which distinguishes between some important exponential families.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Statistics: Applications and New Directions</w:t>
      </w:r>
      <w:r>
        <w:rPr>
          <w:rFonts w:ascii="Times New Roman" w:hAnsi="Times New Roman" w:eastAsia="SimSun"/>
        </w:rPr>
        <w:t xml:space="preserve">, 579-604.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[^7^] Jorgensen, B. (1987). Exponential dispersion models.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Journal of the Royal Statistical Society: Series B</w:t>
      </w:r>
      <w:r>
        <w:rPr>
          <w:rFonts w:ascii="Times New Roman" w:hAnsi="Times New Roman" w:eastAsia="SimSun"/>
        </w:rPr>
        <w:t xml:space="preserve">, 49(2), 127-162.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[^8^] Wickramasuriya, S. L., Athanasopoulos, G., &amp; Hyndman, R. J. (2019). Optimal forecast reconciliation for hierarchical and grouped time series through trace minimization.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Journal of the American Statistical Association</w:t>
      </w:r>
      <w:r>
        <w:rPr>
          <w:rFonts w:ascii="Times New Roman" w:hAnsi="Times New Roman" w:eastAsia="SimSun"/>
        </w:rPr>
        <w:t xml:space="preserve">, 114(526), 804-819.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[^9^] Shaub, D., &amp; Ellis, P. (2020). Conformal prediction intervals for time series.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arXiv preprint</w:t>
      </w:r>
      <w:r>
        <w:rPr>
          <w:rFonts w:ascii="Times New Roman" w:hAnsi="Times New Roman" w:eastAsia="SimSun"/>
        </w:rPr>
        <w:t xml:space="preserve">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[^10^] Kourentzes, N., &amp; Athanasopoulos, G. (2021). Elucidate structure in intermittent demand series.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European Journal of Operational Research</w:t>
      </w:r>
      <w:r>
        <w:rPr>
          <w:rFonts w:ascii="Times New Roman" w:hAnsi="Times New Roman" w:eastAsia="SimSun"/>
        </w:rPr>
        <w:t xml:space="preserve">, 288(1), 141-152.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[^11^] Makridakis, S., Spiliotis, E., &amp; Assimakopoulos, V. (2022). The M5 Competition: Background, organization, and implementation.</w:t>
      </w:r>
      <w:r>
        <w:rPr>
          <w:rFonts w:ascii="Times New Roman" w:hAnsi="Times New Roman" w:eastAsia="SimSun"/>
        </w:rPr>
        <w:t xml:space="preserve"> </w:t>
      </w:r>
      <w:r>
        <w:rPr>
          <w:iCs/>
          <w:rFonts w:ascii="Times New Roman" w:hAnsi="Times New Roman" w:eastAsia="SimSun"/>
          <w:i/>
        </w:rPr>
        <w:t xml:space="preserve">International Journal of Forecasting</w:t>
      </w:r>
      <w:r>
        <w:rPr>
          <w:rFonts w:ascii="Times New Roman" w:hAnsi="Times New Roman" w:eastAsia="SimSun"/>
        </w:rPr>
        <w:t xml:space="preserve">, 38(4), 1325-1336.</w:t>
      </w:r>
    </w:p>
    <w:p>
      <w:pPr>
        <w:pStyle w:val="BodyText"/>
      </w:pPr>
      <w:r>
        <w:rPr>
          <w:rFonts w:ascii="Times New Roman" w:hAnsi="Times New Roman" w:eastAsia="SimSun"/>
        </w:rPr>
        <w:t xml:space="preserve">[^12^] 中华人民共和国国务院办公厅. (2025). 关于2026年部分节假日安排的通知.</w:t>
      </w:r>
    </w:p>
    <w:bookmarkEnd w:id="56"/>
    <w:bookmarkEnd w:id="57"/>
    <w:sectPr>
      <w:headerReference w:type="default" r:id="rId9"/>
      <w:footerReference w:type="default" r:id="rId10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— </w:t>
    </w:r>
    <w:r>
      <w:rPr>
        <w:color w:val="999999"/>
        <w:sz w:val="16"/>
      </w:rPr>
      <w:fldChar w:fldCharType="begin"/>
    </w:r>
    <w:r>
      <w:rPr>
        <w:sz w:val="16"/>
      </w:rPr>
      <w:instrText xml:space="preserve"> PAGE </w:instrText>
    </w:r>
    <w:r>
      <w:fldChar w:fldCharType="end"/>
    </w:r>
    <w:r>
      <w:rPr>
        <w:color w:val="999999"/>
        <w:sz w:val="16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99999"/>
        <w:sz w:val="16"/>
      </w:rPr>
      <w:t>HKU AI Competition Problem 2 — Demand Forecasting Technical Report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40" w:lineRule="exact"/>
    </w:pPr>
    <w:rPr>
      <w:rFonts w:ascii="Times New Roman" w:hAnsi="Times New Roman" w:eastAsia="SimSu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2026-05-23T16:06:19Z</dcterms:created>
  <dcterms:modified xsi:type="dcterms:W3CDTF">2026-05-23T16:06:19Z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