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F7275" w14:textId="77777777" w:rsidR="00261742" w:rsidRDefault="00000000">
      <w:pPr>
        <w:pStyle w:val="Heading1"/>
      </w:pPr>
      <w:r>
        <w:t>1. Introduction</w:t>
      </w:r>
    </w:p>
    <w:p w14:paraId="28D6F495" w14:textId="77777777" w:rsidR="00261742" w:rsidRDefault="00000000">
      <w:pPr>
        <w:spacing w:after="180" w:line="360" w:lineRule="auto"/>
        <w:ind w:firstLine="720"/>
        <w:jc w:val="both"/>
      </w:pPr>
      <w:r>
        <w:t>The emergence of antibiotic resistance in bacterial populations is conventionally framed as a problem of mutation supply: resistance arises when a spontaneous mutation produces an allele that allows a cell to grow in the presence of an otherwise lethal drug, and the probability of this event is captured by the mutation rate. Yet this framing conceals a critical second step that is logically prior to any population-level consequence: the newly mutated cell must survive long enough to reproduce. A resistant mutant that arises in a culture but dies before it divides contributes nothing to the eventual pool of resistant organisms, regardless of its genotypic identity. This threshold between arising and persisting — what population geneticists call establishment — is governed by the stochastic birth-death dynamics of single cells and is shaped, in the case of antibiotic resistance, by the interaction between the resistance phenotype conferred by the mutation and the antibiotic environment in which the cell finds itself.</w:t>
      </w:r>
    </w:p>
    <w:p w14:paraId="5971B831" w14:textId="77777777" w:rsidR="00261742" w:rsidRDefault="00000000">
      <w:pPr>
        <w:spacing w:after="180" w:line="360" w:lineRule="auto"/>
        <w:ind w:firstLine="720"/>
        <w:jc w:val="both"/>
      </w:pPr>
      <w:r>
        <w:t xml:space="preserve">The distinction between mutation rate and establishment probability matters profoundly because most methods for measuring mutation rates to antibiotic resistance — most prominently the Luria–Delbrück fluctuation assay — do not directly observe mutations as they occur. They observe the final count of resistant colonies on selective plates and infer mutation rates from that count (Luria &amp; Delbrück, 1943; Lenski, Slatkin &amp; Ayala, 1989). If the probability of a newly arisen resistant mutant surviving to form a detectable colony differs among alleles, environments, or bacterial strains, the inferred mutation rate will be confounded with the establishment probability. A mutation that is genuinely rare may appear common if its carriers establish efficiently; a mutation that arises frequently may appear rare if most of its founding lineages are lost by stochastic mortality before they reach detectable size. In this way, apparent biases in mutation rates — the observation that some </w:t>
      </w:r>
      <w:proofErr w:type="spellStart"/>
      <w:r>
        <w:t>rpoB</w:t>
      </w:r>
      <w:proofErr w:type="spellEnd"/>
      <w:r>
        <w:t xml:space="preserve"> alleles are recovered far more often than others in fluctuation experiments — may reflect differential survival just as plausibly as they reflect differential rates of DNA lesion formation.</w:t>
      </w:r>
    </w:p>
    <w:p w14:paraId="7AB41540" w14:textId="77777777" w:rsidR="00261742" w:rsidRDefault="00000000">
      <w:pPr>
        <w:spacing w:after="180" w:line="360" w:lineRule="auto"/>
        <w:ind w:firstLine="720"/>
        <w:jc w:val="both"/>
      </w:pPr>
      <w:r>
        <w:t xml:space="preserve">This chapter reviews the literature bearing on this argument. We begin with the theory of stochastic establishment and stochastic mortality in bacterial populations, then </w:t>
      </w:r>
      <w:r>
        <w:lastRenderedPageBreak/>
        <w:t xml:space="preserve">examine the empirical evidence that survival under antibiotic exposure is highly variable across genotypes, environments, and even individual cells carrying identical genotypes. We then review the specific literature on fitness costs of </w:t>
      </w:r>
      <w:proofErr w:type="spellStart"/>
      <w:r>
        <w:t>rpoB</w:t>
      </w:r>
      <w:proofErr w:type="spellEnd"/>
      <w:r>
        <w:t xml:space="preserve"> mutations — since fitness cost is the primary determinant of growth rate and therefore of establishment probability in the absence or presence of antibiotic — and consider how these costs, and the compensatory evolution that follows them, modulate which alleles ultimately reach detectable frequency. Finally, we examine how all of these processes confound the standard interpretation of fluctuation assay data and the inference of mutation rate bias, and outline what experimental approaches can disentangle mutation frequency from establishment frequency.</w:t>
      </w:r>
    </w:p>
    <w:p w14:paraId="69A03634" w14:textId="77777777" w:rsidR="00261742" w:rsidRDefault="00261742">
      <w:pPr>
        <w:spacing w:before="60" w:after="60"/>
      </w:pPr>
    </w:p>
    <w:p w14:paraId="424C4FC4" w14:textId="77777777" w:rsidR="00261742" w:rsidRDefault="00000000">
      <w:pPr>
        <w:pStyle w:val="Heading1"/>
      </w:pPr>
      <w:r>
        <w:t>2. Stochastic Establishment and Stochastic Mortality: Theoretical Foundations</w:t>
      </w:r>
    </w:p>
    <w:p w14:paraId="049CFB1B" w14:textId="77777777" w:rsidR="00261742" w:rsidRDefault="00000000">
      <w:pPr>
        <w:spacing w:after="180" w:line="360" w:lineRule="auto"/>
        <w:ind w:firstLine="720"/>
        <w:jc w:val="both"/>
      </w:pPr>
      <w:r>
        <w:t>The fate of a newly arisen mutant in a bacterial population is not determined by its genotype alone. Even a mutant with a substantial selective advantage faces a critical stochastic phase immediately after it arises: as a single cell, its lineage will survive or be extinguished depending on the outcome of its first few division events, events governed by random birth and death processes that cannot be predicted from fitness parameters alone. This is the problem of stochastic establishment, and it has a long theoretical pedigree in population genetics.</w:t>
      </w:r>
    </w:p>
    <w:p w14:paraId="1559F9AD" w14:textId="77777777" w:rsidR="00261742" w:rsidRDefault="00000000">
      <w:pPr>
        <w:spacing w:after="180" w:line="360" w:lineRule="auto"/>
        <w:ind w:firstLine="720"/>
        <w:jc w:val="both"/>
      </w:pPr>
      <w:r>
        <w:t xml:space="preserve">The classical treatment begins with branching process theory. A single mutant cell divides at rate b and dies at rate d, and the probability that its lineage eventually goes extinct — rather than expanding indefinitely — can be calculated exactly for the simplest (Galton-Watson) branching process as (d/b) when d &lt; b, approaching unity as the selective advantage s = (b − d)/d becomes small. For a mutant with a 10% net selective advantage, approximately 82% of newly arisen lineages are lost by chance (Patwa &amp; Wahl, 2008). The famous Haldane approximation, validated in many subsequent analyses, gives the probability of ultimate survival as approximately 2s for small s in a large constant-size population. Patwa and Wahl (2008) provide a thorough historical and </w:t>
      </w:r>
      <w:r>
        <w:lastRenderedPageBreak/>
        <w:t>mathematical review of fixation probability theory, showing how relaxations of key assumptions — variable population size, fluctuating selection, structured populations — all modify the probability of establishment, generally reducing it below the Haldane value under realistic conditions.</w:t>
      </w:r>
    </w:p>
    <w:p w14:paraId="37CC2489" w14:textId="77777777" w:rsidR="00261742" w:rsidRDefault="00000000">
      <w:pPr>
        <w:spacing w:after="180" w:line="360" w:lineRule="auto"/>
        <w:ind w:firstLine="720"/>
        <w:jc w:val="both"/>
      </w:pPr>
      <w:r>
        <w:t xml:space="preserve">Danino and </w:t>
      </w:r>
      <w:proofErr w:type="spellStart"/>
      <w:r>
        <w:t>Shnerb</w:t>
      </w:r>
      <w:proofErr w:type="spellEnd"/>
      <w:r>
        <w:t xml:space="preserve"> (2018) extended this framework to environments where the selective coefficient of the mutant fluctuates over time, a scenario directly relevant to antibiotic treatment contexts where drug concentration may not be constant. They showed that temporal environmental stochasticity — captured by the amplitude and correlation time of fitness fluctuations — can substantially reduce fixation probability relative to predictions based on time-averaged fitness, because fluctuations create windows of net disadvantage during which even a generally favoured mutant can be lost. For antibiotic resistance mutants, which often carry fitness costs in the absence of drug and advantages in its presence, this temporal variation in net fitness is not an abstract theoretical concern but an empirical reality of any intermittent or sub-inhibitory antibiotic exposure.</w:t>
      </w:r>
    </w:p>
    <w:p w14:paraId="2DA26893" w14:textId="77777777" w:rsidR="00261742" w:rsidRDefault="00000000">
      <w:pPr>
        <w:spacing w:after="180" w:line="360" w:lineRule="auto"/>
        <w:ind w:firstLine="720"/>
        <w:jc w:val="both"/>
      </w:pPr>
      <w:r>
        <w:t>Lenormand, Roze, and Rousset (2009) placed these results in the broader context of stochasticity in evolution, distinguishing between demographic stochasticity (random birth-death events of individual cells, the primary driver of establishment failure), environmental stochasticity (random fluctuations in external conditions), and genetic drift in finite populations. They argued that demographic stochasticity is the dominant source of uncertainty in the fate of rare mutants — precisely the regime relevant to newly arisen resistance mutations, which begin as single cells in populations of millions. The practical implication is that even a large culture generating many resistance mutations per experiment will lose the majority of those mutations not to counter-selection but to the simple randomness of whether the founding cell divided before it died.</w:t>
      </w:r>
    </w:p>
    <w:p w14:paraId="4A9289D9" w14:textId="77777777" w:rsidR="00261742" w:rsidRDefault="00000000">
      <w:pPr>
        <w:spacing w:after="180" w:line="360" w:lineRule="auto"/>
        <w:ind w:firstLine="720"/>
        <w:jc w:val="both"/>
      </w:pPr>
      <w:r>
        <w:t xml:space="preserve">The empirical quantification of establishment probability in bacterial systems has advanced significantly in the past decade. Alexander and MacLean (2020) directly measured the probability of detectable outgrowth from single resistant cells of Pseudomonas aeruginosa carrying resistance plasmids, as a function of antibiotic concentration. Strikingly, even at concentrations as low as one-eighth of the resistant </w:t>
      </w:r>
      <w:r>
        <w:lastRenderedPageBreak/>
        <w:t>strain's minimum inhibitory concentration (MIC) — well within the range that selectively favours resistance — the probability of establishment from a single cell was below 5%. This finding decouples two properties that are often conflated in the resistance literature: selective advantage (which operates at the population level and can be substantial at low drug concentrations) and establishment probability (which is a single-cell property and can be vanishingly small even when the selective advantage is meaningful). The mechanism they identified was the combination of antibiotic-induced damage to even resistant cells, coupled with the intrinsic stochasticity of single-cell birth-death processes, which causes most nascent lineages to be lost before they accumulate enough cells to escape demographic stochasticity.</w:t>
      </w:r>
    </w:p>
    <w:p w14:paraId="72BF1761" w14:textId="77777777" w:rsidR="00261742" w:rsidRDefault="00000000">
      <w:pPr>
        <w:spacing w:after="180" w:line="360" w:lineRule="auto"/>
        <w:ind w:firstLine="720"/>
        <w:jc w:val="both"/>
      </w:pPr>
      <w:proofErr w:type="spellStart"/>
      <w:r>
        <w:t>Saebelfeld</w:t>
      </w:r>
      <w:proofErr w:type="spellEnd"/>
      <w:r>
        <w:t xml:space="preserve"> et al. (2022) extended this quantification to multiple E. coli strains carrying beta-lactamase alleles of varying activity, examining establishment probability as a function of both antibiotic concentration and physical environment (liquid versus agar). Their results revealed two layers of genotype-dependent variation in establishment: first, strains with higher resistance levels did not necessarily have higher establishment probabilities at sub-MIC concentrations, because the establishment assay penalises any antibiotic-induced mortality at the single-cell level; second, the physical environment substantially altered establishment dynamics, with greater variability in establishment probability observed on agar plates than in liquid culture. This second finding is directly relevant to the interpretation of fluctuation assays, which involve a plate-based counting step: if the establishment probability on the selective plate differs among resistance alleles, the colony counts recovered will reflect a convolution of mutation rate, liquid-phase establishment, and plate-phase establishment — three distinct quantities that standard analysis treats as one.</w:t>
      </w:r>
    </w:p>
    <w:p w14:paraId="27F0E45E" w14:textId="77777777" w:rsidR="00261742" w:rsidRDefault="00000000">
      <w:pPr>
        <w:spacing w:after="180" w:line="360" w:lineRule="auto"/>
        <w:ind w:firstLine="720"/>
        <w:jc w:val="both"/>
      </w:pPr>
      <w:r>
        <w:t xml:space="preserve">Alexander (2023) formalised the methodological framework for measuring establishment probability experimentally, reviewing approaches based on high-replicate single-cell plating and maximum likelihood inference. She emphasised that stochastic establishment has been systematically underappreciated in microbiology relative to its importance, both as an intrinsically interesting evolutionary process and as a confound in quantitative assays. The practical toolkit she described — replicate plating of defined </w:t>
      </w:r>
      <w:r>
        <w:lastRenderedPageBreak/>
        <w:t>single-cell suspensions, survival fraction estimation, branching process model fitting — provides the experimental means to separate establishment probability from mutation rate in systems where both vary.</w:t>
      </w:r>
    </w:p>
    <w:p w14:paraId="66CF76AE" w14:textId="77777777" w:rsidR="00261742" w:rsidRDefault="00261742">
      <w:pPr>
        <w:spacing w:before="60" w:after="60"/>
      </w:pPr>
    </w:p>
    <w:p w14:paraId="4008D9BC" w14:textId="520EA9F9" w:rsidR="00261742" w:rsidRDefault="00000000">
      <w:pPr>
        <w:pStyle w:val="Heading1"/>
      </w:pPr>
      <w:r>
        <w:t>5. Differential Survival Confounds Mutation Rate Estimates and Apparent Mutational Bias</w:t>
      </w:r>
    </w:p>
    <w:p w14:paraId="2E95EA0C" w14:textId="77777777" w:rsidR="00261742" w:rsidRDefault="00000000">
      <w:pPr>
        <w:spacing w:after="180" w:line="360" w:lineRule="auto"/>
        <w:ind w:firstLine="720"/>
        <w:jc w:val="both"/>
      </w:pPr>
      <w:r>
        <w:t xml:space="preserve">The Luria–Delbrück fluctuation assay is the standard method for measuring spontaneous mutation rates to antibiotic resistance in bacteria. In its classical form, multiple replicate cultures are grown from small </w:t>
      </w:r>
      <w:proofErr w:type="spellStart"/>
      <w:r>
        <w:t>inocula</w:t>
      </w:r>
      <w:proofErr w:type="spellEnd"/>
      <w:r>
        <w:t>, then plated on selective medium; the variance in resistant colony counts across cultures, which is far larger than Poisson variance, reflects the fact that mutations arising early in culture growth give rise to large clones (jackpot events) while late-arising mutations give rise to few or no surviving colonies (Luria &amp; Delbrück, 1943). Maximum likelihood methods fit the observed distribution of colony counts to infer the underlying mutation rate per cell per generation (Martinez &amp; Baquero, 2000; Lenski et al., 1989).</w:t>
      </w:r>
    </w:p>
    <w:p w14:paraId="4840A5A7" w14:textId="77777777" w:rsidR="00261742" w:rsidRDefault="00000000">
      <w:pPr>
        <w:spacing w:after="180" w:line="360" w:lineRule="auto"/>
        <w:ind w:firstLine="720"/>
        <w:jc w:val="both"/>
      </w:pPr>
      <w:r>
        <w:t xml:space="preserve">The crucial assumption of this inference is that every mutation that arises will ultimately produce a detectable colony on the selective plate — or at least that the probability of detection is equal across all resistance alleles and independent of when the mutation arose. This assumption fails in at least three distinct ways that are directly connected to the survival and establishment biology reviewed above. First, mutations that confer only low-level resistance may not form colonies at the antibiotic concentration used on the selective plate, even though the cells carrying them are genetically resistant. </w:t>
      </w:r>
      <w:proofErr w:type="spellStart"/>
      <w:r>
        <w:t>Soidah</w:t>
      </w:r>
      <w:proofErr w:type="spellEnd"/>
      <w:r>
        <w:t xml:space="preserve"> et al. (2025) and </w:t>
      </w:r>
      <w:proofErr w:type="spellStart"/>
      <w:r>
        <w:t>Huitric</w:t>
      </w:r>
      <w:proofErr w:type="spellEnd"/>
      <w:r>
        <w:t xml:space="preserve"> et al. (2006) both documented that </w:t>
      </w:r>
      <w:proofErr w:type="spellStart"/>
      <w:r>
        <w:t>rpoB</w:t>
      </w:r>
      <w:proofErr w:type="spellEnd"/>
      <w:r>
        <w:t xml:space="preserve"> mutations differ substantially in the MIC they confer, with some mutations associated with high-level resistance and others with borderline or low-level resistance. The latter mutations will be systematically under-detected on standard selection plates, biasing the apparent mutation spectrum toward high-resistance alleles.</w:t>
      </w:r>
    </w:p>
    <w:p w14:paraId="731FC298" w14:textId="77777777" w:rsidR="00261742" w:rsidRDefault="00000000">
      <w:pPr>
        <w:spacing w:after="180" w:line="360" w:lineRule="auto"/>
        <w:ind w:firstLine="720"/>
        <w:jc w:val="both"/>
      </w:pPr>
      <w:r>
        <w:t xml:space="preserve">Second, and more fundamentally, mutations that confer only a modest net growth advantage — or that carry a fitness cost — will have substantially lower establishment </w:t>
      </w:r>
      <w:r>
        <w:lastRenderedPageBreak/>
        <w:t xml:space="preserve">probabilities than mutations with zero cost or with beneficial pleiotropic effects. As established by the branching process theory reviewed above (Patwa &amp; Wahl, 2008; Alexander &amp; MacLean, 2020), establishment probability scales with net selective advantage, meaning that alleles with different fitness costs will be recovered at different rates from identical mutation rate distributions. In a fluctuation assay that does not distinguish between these alleles before plating, the recovered spectrum of mutations will reflect the product of mutation rate and establishment probability for each allele — not mutation rate alone. If certain </w:t>
      </w:r>
      <w:proofErr w:type="spellStart"/>
      <w:r>
        <w:t>rpoB</w:t>
      </w:r>
      <w:proofErr w:type="spellEnd"/>
      <w:r>
        <w:t xml:space="preserve"> positions are hotspots not because they mutate more often but because their mutant products have lower fitness costs and therefore higher establishment probabilities, the inferred mutation rate bias will be an artefact of differential survival rather than differential mutation supply.</w:t>
      </w:r>
    </w:p>
    <w:p w14:paraId="247933A3" w14:textId="77777777" w:rsidR="00261742" w:rsidRDefault="00000000">
      <w:pPr>
        <w:spacing w:after="180" w:line="360" w:lineRule="auto"/>
        <w:ind w:firstLine="720"/>
        <w:jc w:val="both"/>
      </w:pPr>
      <w:r>
        <w:t>Third, the jackpot structure of the Luria–Delbrück distribution introduces a sampling problem that interacts with differential establishment. Fusco et al. (2016) showed that jackpot events — disproportionately large mutant clones — are even more enriched in spatially structured populations (colonies on agar) than in well-mixed liquid cultures, because mutations arising at the expanding edge of a colony are geometrically amplified. The alleles represented in jackpot cultures are those that happened to arise earliest, not those with the highest mutation rates or the highest establishment probabilities. With a finite number of replicate cultures, the observed allele frequency distribution is dominated by the few alleles that happened to appear in jackpot cultures, creating apparent biases that are statistical artefacts of small sample sizes rather than reflections of underlying mutation rates. Lenski et al. (1989) made this point formally in the context of directed mutation hypotheses, showing that differential pre-plating selection can generate distributions indistinguishable from mutation-rate bias.</w:t>
      </w:r>
    </w:p>
    <w:p w14:paraId="58BEB5C7" w14:textId="77777777" w:rsidR="00261742" w:rsidRDefault="00000000">
      <w:pPr>
        <w:spacing w:after="180" w:line="360" w:lineRule="auto"/>
        <w:ind w:firstLine="720"/>
        <w:jc w:val="both"/>
      </w:pPr>
      <w:r>
        <w:t xml:space="preserve">The interaction between mutation rate, establishment probability, and jackpot dynamics is illustrated by empirical observations on the </w:t>
      </w:r>
      <w:proofErr w:type="spellStart"/>
      <w:r>
        <w:t>rpoB</w:t>
      </w:r>
      <w:proofErr w:type="spellEnd"/>
      <w:r>
        <w:t xml:space="preserve"> mutation spectrum. Cummings and Segal (2004) showed that two positions — codons 526 and 531 — account for the majority of recovered </w:t>
      </w:r>
      <w:proofErr w:type="spellStart"/>
      <w:r>
        <w:t>rifampin</w:t>
      </w:r>
      <w:proofErr w:type="spellEnd"/>
      <w:r>
        <w:t xml:space="preserve">-resistant M. tuberculosis, with position 531 producing approximately 100-fold higher average MICs. This overrepresentation of hotspot positions has traditionally been interpreted as evidence of higher mutation rates </w:t>
      </w:r>
      <w:r>
        <w:lastRenderedPageBreak/>
        <w:t>at those codons. However, the same pattern is predicted if alleles at those positions carry lower fitness costs (consistent with Reynolds (2000) finding a range of costs across alleles, and Billington (1999) finding that S531L arises most readily in vitro), conferring higher establishment probabilities, or if they produce resistance levels sufficient to allow efficient plating on standard selective concentrations while other mutations do not. Disentangling these contributions requires measuring mutation rates, fitness costs, and MICs independently for each allele — an experimental programme rarely carried out in full.</w:t>
      </w:r>
    </w:p>
    <w:p w14:paraId="27506AA9" w14:textId="77777777" w:rsidR="00261742" w:rsidRDefault="00000000">
      <w:pPr>
        <w:spacing w:after="180" w:line="360" w:lineRule="auto"/>
        <w:ind w:firstLine="720"/>
        <w:jc w:val="both"/>
      </w:pPr>
      <w:r>
        <w:t xml:space="preserve">Krašovec et al. (2014) added a further complication by showing that the mutation rate at the </w:t>
      </w:r>
      <w:proofErr w:type="spellStart"/>
      <w:r>
        <w:t>rpoB</w:t>
      </w:r>
      <w:proofErr w:type="spellEnd"/>
      <w:r>
        <w:t xml:space="preserve"> locus in E. coli is density-dependent: as population density decreases, mutation rates increase, mediated through the quorum-sensing gene </w:t>
      </w:r>
      <w:proofErr w:type="spellStart"/>
      <w:r>
        <w:t>luxS</w:t>
      </w:r>
      <w:proofErr w:type="spellEnd"/>
      <w:r>
        <w:t xml:space="preserve"> and its role in the activated methyl cycle. This means that mutation rates during a fluctuation assay are not constant over the course of culture growth — they vary with cell density and potentially with other aspects of the growth environment — introducing temporal heterogeneity in mutation rate that standard analyses do not account for. Gifford et al. (2024) showed that the spectrum (not just the rate) of spontaneous mutations in E. coli depends on the carbon source concentration, with AT→GC transitions elevated under nutrient limitation. Leehan et al. (2021) demonstrated the same environment-dependence of mutation spectrum for </w:t>
      </w:r>
      <w:proofErr w:type="spellStart"/>
      <w:r>
        <w:t>rpoB</w:t>
      </w:r>
      <w:proofErr w:type="spellEnd"/>
      <w:r>
        <w:t xml:space="preserve"> specifically in B. subtilis, finding dramatically different dominant mutations in rich versus minimal media. These environmental effects on mutation rate and spectrum mean that the inferred mutation bias from a fluctuation experiment is specific to the growth conditions of that experiment and cannot be generalised to other environments without independent validation.</w:t>
      </w:r>
    </w:p>
    <w:p w14:paraId="5318A74A" w14:textId="77777777" w:rsidR="00261742" w:rsidRDefault="00000000">
      <w:pPr>
        <w:spacing w:after="180" w:line="360" w:lineRule="auto"/>
        <w:ind w:firstLine="720"/>
        <w:jc w:val="both"/>
      </w:pPr>
      <w:r>
        <w:t xml:space="preserve">The possibility that mutation bias is confounded with establishment probability has important implications beyond the fluctuation assay context. Horton and Taylor (2023) reviewed the growing evidence that mutational bias shapes adaptive outcomes in bacteria — that the direction of evolution is not determined solely by selection but is also oriented by which mutations arise most readily. Yampolsky and Stoltzfus (2001) provided the theoretical foundation for this claim, showing that mutational bias can influence which beneficial mutations are fixed even when selection coefficients are large, because the </w:t>
      </w:r>
      <w:r>
        <w:lastRenderedPageBreak/>
        <w:t xml:space="preserve">probability of a mutation contributing to adaptation is proportional to its product of mutation rate and establishment probability. </w:t>
      </w:r>
      <w:proofErr w:type="spellStart"/>
      <w:r>
        <w:t>Cano</w:t>
      </w:r>
      <w:proofErr w:type="spellEnd"/>
      <w:r>
        <w:t xml:space="preserve"> et al. (2022) found empirically that mutation spectra have proportional influences on the spectrum of adaptive substitutions across three bacterial species. However, if apparent mutation biases are actually establishment biases in disguise — if the mutations that appear to arise preferentially are those that survive preferentially — then the causal mechanism driving convergent adaptive evolution may be selective filter rather than mutational supply. This distinction has profound implications for predicting evolutionary trajectories in clinical settings.</w:t>
      </w:r>
    </w:p>
    <w:p w14:paraId="73D6B02D" w14:textId="77777777" w:rsidR="00261742" w:rsidRDefault="00261742">
      <w:pPr>
        <w:spacing w:before="60" w:after="60"/>
      </w:pPr>
    </w:p>
    <w:p w14:paraId="752D4ED8" w14:textId="5FCC04A6" w:rsidR="00261742" w:rsidRDefault="00261742">
      <w:pPr>
        <w:spacing w:before="60" w:after="60"/>
      </w:pPr>
    </w:p>
    <w:p w14:paraId="6636B57E" w14:textId="77777777" w:rsidR="00261742" w:rsidRDefault="00000000">
      <w:pPr>
        <w:pStyle w:val="Heading1"/>
      </w:pPr>
      <w:r>
        <w:t xml:space="preserve">7. Implications for Interpreting Apparent Mutation Rate Bias in </w:t>
      </w:r>
      <w:proofErr w:type="spellStart"/>
      <w:r>
        <w:t>rpoB</w:t>
      </w:r>
      <w:proofErr w:type="spellEnd"/>
    </w:p>
    <w:p w14:paraId="5BDD9AE2" w14:textId="77777777" w:rsidR="00261742" w:rsidRDefault="00000000">
      <w:pPr>
        <w:spacing w:after="180" w:line="360" w:lineRule="auto"/>
        <w:ind w:firstLine="720"/>
        <w:jc w:val="both"/>
      </w:pPr>
      <w:r>
        <w:t>Assembling the evidence reviewed in the preceding sections, a coherent picture emerges of how differential survival at the single-cell level can generate apparent mutation rate biases at the population level. The process operates through at least four distinguishable mechanisms. First, low-MIC mutations are phenotypically filtered at the selective plate: mutations that confer resistance below the selection concentration simply fail to form colonies, regardless of how often they arise. Second, high-fitness-cost mutations have lower establishment probabilities during the liquid-phase growth of a fluctuation culture: their carriers grow more slowly, raising the death-to-birth ratio and increasing the probability of stochastic lineage loss before the clone becomes self-sustaining. Third, single-cell phenotypic heterogeneity — in efflux pump levels, stress response gene expression, or other resistance-modulating factors — means that the establishment probability of any allele is a distribution over possible founding cell states, not a single number, and this distribution may differ among alleles if different mutations arise preferentially in cells with particular phenotypic profiles. Fourth, jackpot sampling in the Luria–Delbrück framework ensures that even with identical mutation rates and establishment probabilities, small numbers of replicate cultures will generate apparent allele frequency differences that can easily be mistaken for mutation rate differences.</w:t>
      </w:r>
    </w:p>
    <w:p w14:paraId="5F8BB075" w14:textId="77777777" w:rsidR="00261742" w:rsidRDefault="00000000">
      <w:pPr>
        <w:spacing w:after="180" w:line="360" w:lineRule="auto"/>
        <w:ind w:firstLine="720"/>
        <w:jc w:val="both"/>
      </w:pPr>
      <w:r>
        <w:lastRenderedPageBreak/>
        <w:t xml:space="preserve">The conventional explanation for the overrepresentation of certain </w:t>
      </w:r>
      <w:proofErr w:type="spellStart"/>
      <w:r>
        <w:t>rpoB</w:t>
      </w:r>
      <w:proofErr w:type="spellEnd"/>
      <w:r>
        <w:t xml:space="preserve"> codons — that they are intrinsic mutational hotspots due to local DNA sequence features, replication error signatures, or repair pathway accessibility — is not challenged by these arguments. Horton and Taylor (2023) provide a compelling case that mutational bias is real and consequential in bacteria, and Wolff et al. (2004) demonstrated polymerase-specific mutational fingerprints at </w:t>
      </w:r>
      <w:proofErr w:type="spellStart"/>
      <w:r>
        <w:t>rpoB</w:t>
      </w:r>
      <w:proofErr w:type="spellEnd"/>
      <w:r>
        <w:t xml:space="preserve"> positions in E. coli. The point is not that mutation rate bias does not exist, but that it cannot be inferred from fluctuation assay data without independently accounting for the establishment probability filter. An observed excess of allele X over allele Y in recovered mutants could reflect any combination of: X arises more often than Y (mutation rate bias); X establishes more readily than Y given that it arose (establishment probability bias); X produces a higher MIC than Y and therefore passes the selection plate filter more reliably (phenotypic detection bias); or X happened to arise in jackpot cultures due to sampling chance (statistical artefact). Only with independent measurements of each parameter can these contributions be separated.</w:t>
      </w:r>
    </w:p>
    <w:p w14:paraId="0CFD68FA" w14:textId="77777777" w:rsidR="00261742" w:rsidRDefault="00000000">
      <w:pPr>
        <w:spacing w:after="180" w:line="360" w:lineRule="auto"/>
        <w:ind w:firstLine="720"/>
        <w:jc w:val="both"/>
      </w:pPr>
      <w:r>
        <w:t xml:space="preserve">The practical consequences of conflating mutation rate with establishment probability extend to clinical predictions of resistance evolution. If the dominant </w:t>
      </w:r>
      <w:proofErr w:type="spellStart"/>
      <w:r>
        <w:t>rpoB</w:t>
      </w:r>
      <w:proofErr w:type="spellEnd"/>
      <w:r>
        <w:t xml:space="preserve"> alleles in clinical M. tuberculosis isolates are overrepresented primarily because they establish efficiently rather than because they arise at higher rates, then interventions aimed at reducing mutation rate — through minimising mutagenic antibiotic concentrations or using combination therapy to reduce the probability of any resistance mutation arising — may be less effective than strategies that target the establishment window, such as maintaining drug concentrations that suppress even single-cell outgrowth of resistant founders. Alexander and MacLean (2020) made exactly this point: concentrations well below the MIC of resistant strains, which have traditionally been considered therapeutically irrelevant, may be sufficient to prevent establishment of single resistant cells and thereby suppress the emergence of resistance at its earliest possible stage.</w:t>
      </w:r>
    </w:p>
    <w:p w14:paraId="70B0E495" w14:textId="77777777" w:rsidR="00261742" w:rsidRDefault="00261742">
      <w:pPr>
        <w:spacing w:before="60" w:after="60"/>
      </w:pPr>
    </w:p>
    <w:p w14:paraId="4D3E16F3" w14:textId="77777777" w:rsidR="00261742" w:rsidRDefault="00000000">
      <w:pPr>
        <w:pStyle w:val="Heading1"/>
      </w:pPr>
      <w:r>
        <w:t>8. Conclusions</w:t>
      </w:r>
    </w:p>
    <w:p w14:paraId="620334A1" w14:textId="77777777" w:rsidR="00261742" w:rsidRDefault="00000000">
      <w:pPr>
        <w:spacing w:after="180" w:line="360" w:lineRule="auto"/>
        <w:ind w:firstLine="720"/>
        <w:jc w:val="both"/>
      </w:pPr>
      <w:r>
        <w:lastRenderedPageBreak/>
        <w:t xml:space="preserve">The literature reviewed here makes a compelling case that the survival of newly arisen resistance mutants — what we call establishment — is not a passive consequence of the mutation but an active, variable, and genotype-specific process that shapes which mutations we ultimately observe. Survival at the single-cell level during the critical window between mutation and detectable colony is governed by the fitness cost of the resistance allele, the antibiotic concentration in the environment, the physical structure of the growth medium, the phenotypic state of the founding cell, and the inherent demographic stochasticity of birth-death processes in small populations. All of these factors vary across the </w:t>
      </w:r>
      <w:proofErr w:type="spellStart"/>
      <w:r>
        <w:t>rpoB</w:t>
      </w:r>
      <w:proofErr w:type="spellEnd"/>
      <w:r>
        <w:t xml:space="preserve"> alleles that can confer rifampicin resistance, creating a differential survival landscape that systematically biases which alleles emerge from fluctuation experiments.</w:t>
      </w:r>
    </w:p>
    <w:p w14:paraId="3006E1DA" w14:textId="77777777" w:rsidR="00261742" w:rsidRDefault="00000000">
      <w:pPr>
        <w:spacing w:after="180" w:line="360" w:lineRule="auto"/>
        <w:ind w:firstLine="720"/>
        <w:jc w:val="both"/>
      </w:pPr>
      <w:r>
        <w:t xml:space="preserve">This has two major implications. First, for the interpretation of fluctuation assay data: apparent mutation rate biases — the tendency for some </w:t>
      </w:r>
      <w:proofErr w:type="spellStart"/>
      <w:r>
        <w:t>rpoB</w:t>
      </w:r>
      <w:proofErr w:type="spellEnd"/>
      <w:r>
        <w:t xml:space="preserve"> codons to appear in recovered mutants far more often than others — cannot be attributed to differential mutation rates without independently measuring and controlling for differential establishment probabilities, phenotypic MIC heterogeneity, and statistical jackpot effects. Methods for doing so are now available (Alexander, 2023; Patwa &amp; Wahl, 2008), and applying them to the </w:t>
      </w:r>
      <w:proofErr w:type="spellStart"/>
      <w:r>
        <w:t>rpoB</w:t>
      </w:r>
      <w:proofErr w:type="spellEnd"/>
      <w:r>
        <w:t xml:space="preserve"> system would provide a definitive test of whether mutation rate bias or establishment bias is the dominant explanation for the observed allele spectrum. Second, for the biology of resistance emergence: because most newly arisen resistance mutants are lost by stochastic mortality before establishing, the appearance of resistance in a population is an inherently rare and probabilistic event even when the mutation rate is high. Understanding which alleles and which conditions maximise (or minimise) establishment probability is therefore essential for both predicting the course of resistance evolution and designing antibiotic treatment strategies that suppress it.</w:t>
      </w:r>
    </w:p>
    <w:p w14:paraId="1313281D" w14:textId="77777777" w:rsidR="00261742" w:rsidRDefault="00261742">
      <w:pPr>
        <w:spacing w:before="60" w:after="60"/>
      </w:pPr>
    </w:p>
    <w:p w14:paraId="60F691B0" w14:textId="77777777" w:rsidR="00261742" w:rsidRDefault="00261742">
      <w:pPr>
        <w:spacing w:before="60" w:after="60"/>
      </w:pPr>
    </w:p>
    <w:p w14:paraId="6E3FECC5" w14:textId="77777777" w:rsidR="00261742" w:rsidRDefault="00000000">
      <w:pPr>
        <w:pStyle w:val="Heading1"/>
      </w:pPr>
      <w:r>
        <w:t>References</w:t>
      </w:r>
    </w:p>
    <w:p w14:paraId="256B279F" w14:textId="77777777" w:rsidR="00261742" w:rsidRDefault="00000000">
      <w:pPr>
        <w:spacing w:before="60" w:after="60" w:line="300" w:lineRule="auto"/>
        <w:ind w:left="720" w:hanging="720"/>
      </w:pPr>
      <w:r>
        <w:rPr>
          <w:sz w:val="22"/>
          <w:szCs w:val="22"/>
        </w:rPr>
        <w:t>Alexander, H.K. (2023). Quantifying stochastic establishment of mutants in microbial adaptation. PLOS Biology.</w:t>
      </w:r>
    </w:p>
    <w:p w14:paraId="1ADBC187" w14:textId="77777777" w:rsidR="00261742" w:rsidRDefault="00000000">
      <w:pPr>
        <w:spacing w:before="60" w:after="60" w:line="300" w:lineRule="auto"/>
        <w:ind w:left="720" w:hanging="720"/>
      </w:pPr>
      <w:r>
        <w:rPr>
          <w:sz w:val="22"/>
          <w:szCs w:val="22"/>
        </w:rPr>
        <w:lastRenderedPageBreak/>
        <w:t>Alexander, H.K. &amp; MacLean, R.C. (2020). Stochastic bacterial population dynamics restrict the establishment of antibiotic resistance from single cells. Proceedings of the National Academy of Sciences, 117(32), 19455–19464.</w:t>
      </w:r>
    </w:p>
    <w:p w14:paraId="7B9C0572" w14:textId="77777777" w:rsidR="00261742" w:rsidRDefault="00000000">
      <w:pPr>
        <w:spacing w:before="60" w:after="60" w:line="300" w:lineRule="auto"/>
        <w:ind w:left="720" w:hanging="720"/>
      </w:pPr>
      <w:proofErr w:type="spellStart"/>
      <w:r>
        <w:rPr>
          <w:sz w:val="22"/>
          <w:szCs w:val="22"/>
        </w:rPr>
        <w:t>Bergmiller</w:t>
      </w:r>
      <w:proofErr w:type="spellEnd"/>
      <w:r>
        <w:rPr>
          <w:sz w:val="22"/>
          <w:szCs w:val="22"/>
        </w:rPr>
        <w:t xml:space="preserve">, T., Andersson, A.M.C., Tomasek, K. et al. (2017). Biased partitioning of the multidrug efflux pump </w:t>
      </w:r>
      <w:proofErr w:type="spellStart"/>
      <w:r>
        <w:rPr>
          <w:sz w:val="22"/>
          <w:szCs w:val="22"/>
        </w:rPr>
        <w:t>AcrAB-TolC</w:t>
      </w:r>
      <w:proofErr w:type="spellEnd"/>
      <w:r>
        <w:rPr>
          <w:sz w:val="22"/>
          <w:szCs w:val="22"/>
        </w:rPr>
        <w:t xml:space="preserve"> underlies long-lived phenotypic heterogeneity. Science, 356(6335), 311–315.</w:t>
      </w:r>
    </w:p>
    <w:p w14:paraId="2B89E977" w14:textId="77777777" w:rsidR="00261742" w:rsidRDefault="00000000">
      <w:pPr>
        <w:spacing w:before="60" w:after="60" w:line="300" w:lineRule="auto"/>
        <w:ind w:left="720" w:hanging="720"/>
      </w:pPr>
      <w:r>
        <w:rPr>
          <w:sz w:val="22"/>
          <w:szCs w:val="22"/>
        </w:rPr>
        <w:t xml:space="preserve">Billington, O.J., McHugh, T.D. &amp; Gillespie, S.H. (1999). Physiological cost of </w:t>
      </w:r>
      <w:proofErr w:type="spellStart"/>
      <w:r>
        <w:rPr>
          <w:sz w:val="22"/>
          <w:szCs w:val="22"/>
        </w:rPr>
        <w:t>rifampin</w:t>
      </w:r>
      <w:proofErr w:type="spellEnd"/>
      <w:r>
        <w:rPr>
          <w:sz w:val="22"/>
          <w:szCs w:val="22"/>
        </w:rPr>
        <w:t xml:space="preserve"> resistance induced in vitro in Mycobacterium tuberculosis. Antimicrobial Agents and Chemotherapy, 43(8), 1866–1869.</w:t>
      </w:r>
    </w:p>
    <w:p w14:paraId="64CE483B" w14:textId="77777777" w:rsidR="00261742" w:rsidRDefault="00000000">
      <w:pPr>
        <w:spacing w:before="60" w:after="60" w:line="300" w:lineRule="auto"/>
        <w:ind w:left="720" w:hanging="720"/>
      </w:pPr>
      <w:r>
        <w:rPr>
          <w:sz w:val="22"/>
          <w:szCs w:val="22"/>
        </w:rPr>
        <w:t>Björkman, J. &amp; Andersson, D.I. (2000). The cost of antibiotic resistance from a bacterial perspective. Drug Resistance Updates, 3(4), 237–245.</w:t>
      </w:r>
    </w:p>
    <w:p w14:paraId="58B5DCA5" w14:textId="77777777" w:rsidR="00261742" w:rsidRDefault="00000000">
      <w:pPr>
        <w:spacing w:before="60" w:after="60" w:line="300" w:lineRule="auto"/>
        <w:ind w:left="720" w:hanging="720"/>
      </w:pPr>
      <w:r>
        <w:rPr>
          <w:sz w:val="22"/>
          <w:szCs w:val="22"/>
        </w:rPr>
        <w:t xml:space="preserve">Brandis, G. &amp; Hughes, D. (2013). Genetic characterization of compensatory evolution in strains carrying </w:t>
      </w:r>
      <w:proofErr w:type="spellStart"/>
      <w:r>
        <w:rPr>
          <w:sz w:val="22"/>
          <w:szCs w:val="22"/>
        </w:rPr>
        <w:t>rpoB</w:t>
      </w:r>
      <w:proofErr w:type="spellEnd"/>
      <w:r>
        <w:rPr>
          <w:sz w:val="22"/>
          <w:szCs w:val="22"/>
        </w:rPr>
        <w:t xml:space="preserve"> Ser531Leu, the rifampicin resistance mutation most frequently found in clinical isolates. Journal of Antimicrobial Chemotherapy, 68(11), 2493–2497.</w:t>
      </w:r>
    </w:p>
    <w:p w14:paraId="53DE7E48" w14:textId="77777777" w:rsidR="00261742" w:rsidRDefault="00000000">
      <w:pPr>
        <w:spacing w:before="60" w:after="60" w:line="300" w:lineRule="auto"/>
        <w:ind w:left="720" w:hanging="720"/>
      </w:pPr>
      <w:r>
        <w:rPr>
          <w:sz w:val="22"/>
          <w:szCs w:val="22"/>
        </w:rPr>
        <w:t xml:space="preserve">Brandis, G., Brandis, G. &amp; Hughes, D. (2018). Mechanisms of fitness cost reduction for rifampicin-resistant strains with deletion or duplication mutations in </w:t>
      </w:r>
      <w:proofErr w:type="spellStart"/>
      <w:r>
        <w:rPr>
          <w:sz w:val="22"/>
          <w:szCs w:val="22"/>
        </w:rPr>
        <w:t>rpoB</w:t>
      </w:r>
      <w:proofErr w:type="spellEnd"/>
      <w:r>
        <w:rPr>
          <w:sz w:val="22"/>
          <w:szCs w:val="22"/>
        </w:rPr>
        <w:t>. Scientific Reports, 8, 17488.</w:t>
      </w:r>
    </w:p>
    <w:p w14:paraId="199F6FEB" w14:textId="77777777" w:rsidR="00261742" w:rsidRDefault="00000000">
      <w:pPr>
        <w:spacing w:before="60" w:after="60" w:line="300" w:lineRule="auto"/>
        <w:ind w:left="720" w:hanging="720"/>
      </w:pPr>
      <w:proofErr w:type="spellStart"/>
      <w:r>
        <w:rPr>
          <w:sz w:val="22"/>
          <w:szCs w:val="22"/>
        </w:rPr>
        <w:t>Cano</w:t>
      </w:r>
      <w:proofErr w:type="spellEnd"/>
      <w:r>
        <w:rPr>
          <w:sz w:val="22"/>
          <w:szCs w:val="22"/>
        </w:rPr>
        <w:t xml:space="preserve">, A.V., </w:t>
      </w:r>
      <w:proofErr w:type="spellStart"/>
      <w:r>
        <w:rPr>
          <w:sz w:val="22"/>
          <w:szCs w:val="22"/>
        </w:rPr>
        <w:t>Rozhoňová</w:t>
      </w:r>
      <w:proofErr w:type="spellEnd"/>
      <w:r>
        <w:rPr>
          <w:sz w:val="22"/>
          <w:szCs w:val="22"/>
        </w:rPr>
        <w:t>, H., Stoltzfus, A. &amp; McCandlish, D.M. (2022). Mutation bias shapes the spectrum of adaptive substitutions. Proceedings of the National Academy of Sciences, 119(7), e2119720119.</w:t>
      </w:r>
    </w:p>
    <w:p w14:paraId="14954318" w14:textId="77777777" w:rsidR="00261742" w:rsidRDefault="00000000">
      <w:pPr>
        <w:spacing w:before="60" w:after="60" w:line="300" w:lineRule="auto"/>
        <w:ind w:left="720" w:hanging="720"/>
      </w:pPr>
      <w:r>
        <w:rPr>
          <w:sz w:val="22"/>
          <w:szCs w:val="22"/>
        </w:rPr>
        <w:t xml:space="preserve">Cummings, M.P. &amp; Segal, M.R. (2004). Few amino acid positions in </w:t>
      </w:r>
      <w:proofErr w:type="spellStart"/>
      <w:r>
        <w:rPr>
          <w:sz w:val="22"/>
          <w:szCs w:val="22"/>
        </w:rPr>
        <w:t>rpoB</w:t>
      </w:r>
      <w:proofErr w:type="spellEnd"/>
      <w:r>
        <w:rPr>
          <w:sz w:val="22"/>
          <w:szCs w:val="22"/>
        </w:rPr>
        <w:t xml:space="preserve"> are associated with most of the </w:t>
      </w:r>
      <w:proofErr w:type="spellStart"/>
      <w:r>
        <w:rPr>
          <w:sz w:val="22"/>
          <w:szCs w:val="22"/>
        </w:rPr>
        <w:t>rifampin</w:t>
      </w:r>
      <w:proofErr w:type="spellEnd"/>
      <w:r>
        <w:rPr>
          <w:sz w:val="22"/>
          <w:szCs w:val="22"/>
        </w:rPr>
        <w:t xml:space="preserve"> resistance in Mycobacterium tuberculosis. BMC Bioinformatics, 5, 137.</w:t>
      </w:r>
    </w:p>
    <w:p w14:paraId="3D3BB674" w14:textId="77777777" w:rsidR="00261742" w:rsidRDefault="00000000">
      <w:pPr>
        <w:spacing w:before="60" w:after="60" w:line="300" w:lineRule="auto"/>
        <w:ind w:left="720" w:hanging="720"/>
      </w:pPr>
      <w:r>
        <w:rPr>
          <w:sz w:val="22"/>
          <w:szCs w:val="22"/>
        </w:rPr>
        <w:t xml:space="preserve">Danino, M. &amp; </w:t>
      </w:r>
      <w:proofErr w:type="spellStart"/>
      <w:r>
        <w:rPr>
          <w:sz w:val="22"/>
          <w:szCs w:val="22"/>
        </w:rPr>
        <w:t>Shnerb</w:t>
      </w:r>
      <w:proofErr w:type="spellEnd"/>
      <w:r>
        <w:rPr>
          <w:sz w:val="22"/>
          <w:szCs w:val="22"/>
        </w:rPr>
        <w:t>, N.M. (2018). Fixation and absorption in a fluctuating environment. Journal of Theoretical Biology, 441, 84–92.</w:t>
      </w:r>
    </w:p>
    <w:p w14:paraId="36D3459A" w14:textId="77777777" w:rsidR="00261742" w:rsidRDefault="00000000">
      <w:pPr>
        <w:spacing w:before="60" w:after="60" w:line="300" w:lineRule="auto"/>
        <w:ind w:left="720" w:hanging="720"/>
      </w:pPr>
      <w:r>
        <w:rPr>
          <w:sz w:val="22"/>
          <w:szCs w:val="22"/>
        </w:rPr>
        <w:t xml:space="preserve">El </w:t>
      </w:r>
      <w:proofErr w:type="spellStart"/>
      <w:r>
        <w:rPr>
          <w:sz w:val="22"/>
          <w:szCs w:val="22"/>
        </w:rPr>
        <w:t>Meouche</w:t>
      </w:r>
      <w:proofErr w:type="spellEnd"/>
      <w:r>
        <w:rPr>
          <w:sz w:val="22"/>
          <w:szCs w:val="22"/>
        </w:rPr>
        <w:t>, I., Siu, Y. &amp; Dunlop, M.J. (2016). Stochastic expression of a multiple antibiotic resistance activator confers transient resistance in single cells. Scientific Reports, 6, 19538.</w:t>
      </w:r>
    </w:p>
    <w:p w14:paraId="6221E708" w14:textId="77777777" w:rsidR="00261742" w:rsidRDefault="00000000">
      <w:pPr>
        <w:spacing w:before="60" w:after="60" w:line="300" w:lineRule="auto"/>
        <w:ind w:left="720" w:hanging="720"/>
      </w:pPr>
      <w:r>
        <w:rPr>
          <w:sz w:val="22"/>
          <w:szCs w:val="22"/>
        </w:rPr>
        <w:t>Fusco, D., Gralka, M., Kayser, J. et al. (2016). Excess of mutational jackpot events in expanding populations revealed by spatial Luria–Delbrück experiments. Nature Communications, 7, 12760.</w:t>
      </w:r>
    </w:p>
    <w:p w14:paraId="49A8FFB0" w14:textId="77777777" w:rsidR="00261742" w:rsidRDefault="00000000">
      <w:pPr>
        <w:spacing w:before="60" w:after="60" w:line="300" w:lineRule="auto"/>
        <w:ind w:left="720" w:hanging="720"/>
      </w:pPr>
      <w:r>
        <w:rPr>
          <w:sz w:val="22"/>
          <w:szCs w:val="22"/>
        </w:rPr>
        <w:t>Gagneux, S. (2009). Fitness cost of drug resistance in Mycobacterium tuberculosis. Clinical Microbiology and Infection, 15(Suppl 1), 66–68.</w:t>
      </w:r>
    </w:p>
    <w:p w14:paraId="7365DE59" w14:textId="77777777" w:rsidR="00261742" w:rsidRDefault="00000000">
      <w:pPr>
        <w:spacing w:before="60" w:after="60" w:line="300" w:lineRule="auto"/>
        <w:ind w:left="720" w:hanging="720"/>
      </w:pPr>
      <w:r>
        <w:rPr>
          <w:sz w:val="22"/>
          <w:szCs w:val="22"/>
        </w:rPr>
        <w:t xml:space="preserve">Gifford, D.R., Bhattacharyya, A., Geim, A. et al. (2024). Environmental and genetic influence on the rate and spectrum of spontaneous mutations in Escherichia coli. </w:t>
      </w:r>
      <w:proofErr w:type="spellStart"/>
      <w:r>
        <w:rPr>
          <w:sz w:val="22"/>
          <w:szCs w:val="22"/>
        </w:rPr>
        <w:t>eLife</w:t>
      </w:r>
      <w:proofErr w:type="spellEnd"/>
      <w:r>
        <w:rPr>
          <w:sz w:val="22"/>
          <w:szCs w:val="22"/>
        </w:rPr>
        <w:t>.</w:t>
      </w:r>
    </w:p>
    <w:p w14:paraId="260FED40" w14:textId="77777777" w:rsidR="00261742" w:rsidRDefault="00000000">
      <w:pPr>
        <w:spacing w:before="60" w:after="60" w:line="300" w:lineRule="auto"/>
        <w:ind w:left="720" w:hanging="720"/>
      </w:pPr>
      <w:r>
        <w:rPr>
          <w:sz w:val="22"/>
          <w:szCs w:val="22"/>
        </w:rPr>
        <w:t>Hall, A.R., Iles, J.C. &amp; MacLean, R.C. (2011). The fitness cost of rifampicin resistance in Pseudomonas aeruginosa depends on demand for RNA polymerase. Genetics, 187(3), 817–822.</w:t>
      </w:r>
    </w:p>
    <w:p w14:paraId="4C0D7FE6" w14:textId="77777777" w:rsidR="00261742" w:rsidRDefault="00000000">
      <w:pPr>
        <w:spacing w:before="60" w:after="60" w:line="300" w:lineRule="auto"/>
        <w:ind w:left="720" w:hanging="720"/>
      </w:pPr>
      <w:r>
        <w:rPr>
          <w:sz w:val="22"/>
          <w:szCs w:val="22"/>
        </w:rPr>
        <w:lastRenderedPageBreak/>
        <w:t>Horton, J.S. &amp; Taylor, T.B. (2023). Mutation bias and adaptation in bacteria. Nature Reviews Microbiology.</w:t>
      </w:r>
    </w:p>
    <w:p w14:paraId="3CF0779E" w14:textId="77777777" w:rsidR="00261742" w:rsidRDefault="00000000">
      <w:pPr>
        <w:spacing w:before="60" w:after="60" w:line="300" w:lineRule="auto"/>
        <w:ind w:left="720" w:hanging="720"/>
      </w:pPr>
      <w:r>
        <w:rPr>
          <w:sz w:val="22"/>
          <w:szCs w:val="22"/>
        </w:rPr>
        <w:t>Hughes, D. &amp; Brandis, G. (2013). Rifampicin resistance: fitness costs and the significance of compensatory evolution. Antibiotics, 2(2), 206–216.</w:t>
      </w:r>
    </w:p>
    <w:p w14:paraId="7029B2CD" w14:textId="77777777" w:rsidR="00261742" w:rsidRDefault="00000000">
      <w:pPr>
        <w:spacing w:before="60" w:after="60" w:line="300" w:lineRule="auto"/>
        <w:ind w:left="720" w:hanging="720"/>
      </w:pPr>
      <w:proofErr w:type="spellStart"/>
      <w:r>
        <w:rPr>
          <w:sz w:val="22"/>
          <w:szCs w:val="22"/>
        </w:rPr>
        <w:t>Huitric</w:t>
      </w:r>
      <w:proofErr w:type="spellEnd"/>
      <w:r>
        <w:rPr>
          <w:sz w:val="22"/>
          <w:szCs w:val="22"/>
        </w:rPr>
        <w:t xml:space="preserve">, E., Werngren, J., </w:t>
      </w:r>
      <w:proofErr w:type="spellStart"/>
      <w:r>
        <w:rPr>
          <w:sz w:val="22"/>
          <w:szCs w:val="22"/>
        </w:rPr>
        <w:t>Juréen</w:t>
      </w:r>
      <w:proofErr w:type="spellEnd"/>
      <w:r>
        <w:rPr>
          <w:sz w:val="22"/>
          <w:szCs w:val="22"/>
        </w:rPr>
        <w:t xml:space="preserve">, P. &amp; Hoffner, S. (2006). Resistance levels and </w:t>
      </w:r>
      <w:proofErr w:type="spellStart"/>
      <w:r>
        <w:rPr>
          <w:sz w:val="22"/>
          <w:szCs w:val="22"/>
        </w:rPr>
        <w:t>rpoB</w:t>
      </w:r>
      <w:proofErr w:type="spellEnd"/>
      <w:r>
        <w:rPr>
          <w:sz w:val="22"/>
          <w:szCs w:val="22"/>
        </w:rPr>
        <w:t xml:space="preserve"> gene mutations among in vitro-selected </w:t>
      </w:r>
      <w:proofErr w:type="spellStart"/>
      <w:r>
        <w:rPr>
          <w:sz w:val="22"/>
          <w:szCs w:val="22"/>
        </w:rPr>
        <w:t>rifampin</w:t>
      </w:r>
      <w:proofErr w:type="spellEnd"/>
      <w:r>
        <w:rPr>
          <w:sz w:val="22"/>
          <w:szCs w:val="22"/>
        </w:rPr>
        <w:t>-resistant Mycobacterium tuberculosis mutants. Antimicrobial Agents and Chemotherapy, 50(8), 2860–2862.</w:t>
      </w:r>
    </w:p>
    <w:p w14:paraId="0ABD4A7A" w14:textId="77777777" w:rsidR="00261742" w:rsidRDefault="00000000">
      <w:pPr>
        <w:spacing w:before="60" w:after="60" w:line="300" w:lineRule="auto"/>
        <w:ind w:left="720" w:hanging="720"/>
      </w:pPr>
      <w:r>
        <w:rPr>
          <w:sz w:val="22"/>
          <w:szCs w:val="22"/>
        </w:rPr>
        <w:t xml:space="preserve">Jamieson, F.B., Guthrie, J.L., </w:t>
      </w:r>
      <w:proofErr w:type="spellStart"/>
      <w:r>
        <w:rPr>
          <w:sz w:val="22"/>
          <w:szCs w:val="22"/>
        </w:rPr>
        <w:t>Neemuchwala</w:t>
      </w:r>
      <w:proofErr w:type="spellEnd"/>
      <w:r>
        <w:rPr>
          <w:sz w:val="22"/>
          <w:szCs w:val="22"/>
        </w:rPr>
        <w:t xml:space="preserve">, A. &amp; </w:t>
      </w:r>
      <w:proofErr w:type="spellStart"/>
      <w:r>
        <w:rPr>
          <w:sz w:val="22"/>
          <w:szCs w:val="22"/>
        </w:rPr>
        <w:t>Lastovetska</w:t>
      </w:r>
      <w:proofErr w:type="spellEnd"/>
      <w:r>
        <w:rPr>
          <w:sz w:val="22"/>
          <w:szCs w:val="22"/>
        </w:rPr>
        <w:t xml:space="preserve">, O. (2014). Profiling of </w:t>
      </w:r>
      <w:proofErr w:type="spellStart"/>
      <w:r>
        <w:rPr>
          <w:sz w:val="22"/>
          <w:szCs w:val="22"/>
        </w:rPr>
        <w:t>rpoB</w:t>
      </w:r>
      <w:proofErr w:type="spellEnd"/>
      <w:r>
        <w:rPr>
          <w:sz w:val="22"/>
          <w:szCs w:val="22"/>
        </w:rPr>
        <w:t xml:space="preserve"> mutations and MICs for </w:t>
      </w:r>
      <w:proofErr w:type="spellStart"/>
      <w:r>
        <w:rPr>
          <w:sz w:val="22"/>
          <w:szCs w:val="22"/>
        </w:rPr>
        <w:t>rifampin</w:t>
      </w:r>
      <w:proofErr w:type="spellEnd"/>
      <w:r>
        <w:rPr>
          <w:sz w:val="22"/>
          <w:szCs w:val="22"/>
        </w:rPr>
        <w:t xml:space="preserve"> and rifabutin in Mycobacterium tuberculosis. Journal of Clinical Microbiology, 52(6), 2157–2162.</w:t>
      </w:r>
    </w:p>
    <w:p w14:paraId="1ADEE24B" w14:textId="77777777" w:rsidR="00261742" w:rsidRDefault="00000000">
      <w:pPr>
        <w:spacing w:before="60" w:after="60" w:line="300" w:lineRule="auto"/>
        <w:ind w:left="720" w:hanging="720"/>
      </w:pPr>
      <w:r>
        <w:rPr>
          <w:sz w:val="22"/>
          <w:szCs w:val="22"/>
        </w:rPr>
        <w:t xml:space="preserve">Jin, D.J. &amp; Gross, C.A. (1989). Characterization of the pleiotropic phenotypes of </w:t>
      </w:r>
      <w:proofErr w:type="spellStart"/>
      <w:r>
        <w:rPr>
          <w:sz w:val="22"/>
          <w:szCs w:val="22"/>
        </w:rPr>
        <w:t>rifampin</w:t>
      </w:r>
      <w:proofErr w:type="spellEnd"/>
      <w:r>
        <w:rPr>
          <w:sz w:val="22"/>
          <w:szCs w:val="22"/>
        </w:rPr>
        <w:t xml:space="preserve">-resistant </w:t>
      </w:r>
      <w:proofErr w:type="spellStart"/>
      <w:r>
        <w:rPr>
          <w:sz w:val="22"/>
          <w:szCs w:val="22"/>
        </w:rPr>
        <w:t>rpoB</w:t>
      </w:r>
      <w:proofErr w:type="spellEnd"/>
      <w:r>
        <w:rPr>
          <w:sz w:val="22"/>
          <w:szCs w:val="22"/>
        </w:rPr>
        <w:t xml:space="preserve"> mutants of Escherichia coli. Journal of Bacteriology, 171(9), 5229–5237.</w:t>
      </w:r>
    </w:p>
    <w:p w14:paraId="739C2505" w14:textId="77777777" w:rsidR="00261742" w:rsidRDefault="00000000">
      <w:pPr>
        <w:spacing w:before="60" w:after="60" w:line="300" w:lineRule="auto"/>
        <w:ind w:left="720" w:hanging="720"/>
      </w:pPr>
      <w:r>
        <w:rPr>
          <w:sz w:val="22"/>
          <w:szCs w:val="22"/>
        </w:rPr>
        <w:t xml:space="preserve">Krašovec, R., </w:t>
      </w:r>
      <w:proofErr w:type="spellStart"/>
      <w:r>
        <w:rPr>
          <w:sz w:val="22"/>
          <w:szCs w:val="22"/>
        </w:rPr>
        <w:t>Belavkin</w:t>
      </w:r>
      <w:proofErr w:type="spellEnd"/>
      <w:r>
        <w:rPr>
          <w:sz w:val="22"/>
          <w:szCs w:val="22"/>
        </w:rPr>
        <w:t>, R.V., Aston, J.A.D. et al. (2014). Mutation rate plasticity in rifampicin resistance depends on Escherichia coli cell–cell interactions. Nature Communications.</w:t>
      </w:r>
    </w:p>
    <w:p w14:paraId="48451F7C" w14:textId="77777777" w:rsidR="00261742" w:rsidRDefault="00000000">
      <w:pPr>
        <w:spacing w:before="60" w:after="60" w:line="300" w:lineRule="auto"/>
        <w:ind w:left="720" w:hanging="720"/>
      </w:pPr>
      <w:r>
        <w:rPr>
          <w:sz w:val="22"/>
          <w:szCs w:val="22"/>
        </w:rPr>
        <w:t xml:space="preserve">Leehan, J.D., Nicholson, W.L. &amp; Kivisaar, M. (2021). The spectrum of spontaneous </w:t>
      </w:r>
      <w:proofErr w:type="spellStart"/>
      <w:r>
        <w:rPr>
          <w:sz w:val="22"/>
          <w:szCs w:val="22"/>
        </w:rPr>
        <w:t>rifampin</w:t>
      </w:r>
      <w:proofErr w:type="spellEnd"/>
      <w:r>
        <w:rPr>
          <w:sz w:val="22"/>
          <w:szCs w:val="22"/>
        </w:rPr>
        <w:t xml:space="preserve"> resistance mutations in the Bacillus subtilis </w:t>
      </w:r>
      <w:proofErr w:type="spellStart"/>
      <w:r>
        <w:rPr>
          <w:sz w:val="22"/>
          <w:szCs w:val="22"/>
        </w:rPr>
        <w:t>rpoB</w:t>
      </w:r>
      <w:proofErr w:type="spellEnd"/>
      <w:r>
        <w:rPr>
          <w:sz w:val="22"/>
          <w:szCs w:val="22"/>
        </w:rPr>
        <w:t xml:space="preserve"> gene depends on the growth environment. Microbiology Spectrum.</w:t>
      </w:r>
    </w:p>
    <w:p w14:paraId="1ED5BCD4" w14:textId="77777777" w:rsidR="00261742" w:rsidRDefault="00000000">
      <w:pPr>
        <w:spacing w:before="60" w:after="60" w:line="300" w:lineRule="auto"/>
        <w:ind w:left="720" w:hanging="720"/>
      </w:pPr>
      <w:r>
        <w:rPr>
          <w:sz w:val="22"/>
          <w:szCs w:val="22"/>
        </w:rPr>
        <w:t xml:space="preserve">Lenormand, T., </w:t>
      </w:r>
      <w:proofErr w:type="spellStart"/>
      <w:r>
        <w:rPr>
          <w:sz w:val="22"/>
          <w:szCs w:val="22"/>
        </w:rPr>
        <w:t>Harmand</w:t>
      </w:r>
      <w:proofErr w:type="spellEnd"/>
      <w:r>
        <w:rPr>
          <w:sz w:val="22"/>
          <w:szCs w:val="22"/>
        </w:rPr>
        <w:t>, N. &amp; Gallet, R. (2018). Cost of resistance: an unreasonably expensive concept. Biology Letters, 15(1).</w:t>
      </w:r>
    </w:p>
    <w:p w14:paraId="08B9D042" w14:textId="77777777" w:rsidR="00261742" w:rsidRDefault="00000000">
      <w:pPr>
        <w:spacing w:before="60" w:after="60" w:line="300" w:lineRule="auto"/>
        <w:ind w:left="720" w:hanging="720"/>
      </w:pPr>
      <w:r>
        <w:rPr>
          <w:sz w:val="22"/>
          <w:szCs w:val="22"/>
        </w:rPr>
        <w:t>Lenormand, T., Roze, D. &amp; Rousset, F. (2009). Stochasticity in evolution. Trends in Ecology &amp; Evolution, 24(3), 157–165.</w:t>
      </w:r>
    </w:p>
    <w:p w14:paraId="5B773324" w14:textId="77777777" w:rsidR="00261742" w:rsidRDefault="00000000">
      <w:pPr>
        <w:spacing w:before="60" w:after="60" w:line="300" w:lineRule="auto"/>
        <w:ind w:left="720" w:hanging="720"/>
      </w:pPr>
      <w:r>
        <w:rPr>
          <w:sz w:val="22"/>
          <w:szCs w:val="22"/>
        </w:rPr>
        <w:t>Lenski, R.E., Slatkin, M. &amp; Ayala, F.J. (1989). Mutation and selection in bacterial populations: alternatives to the hypothesis of directed mutation. Proceedings of the National Academy of Sciences, 86(8), 2775–2778.</w:t>
      </w:r>
    </w:p>
    <w:p w14:paraId="06F1CAA4" w14:textId="77777777" w:rsidR="00261742" w:rsidRDefault="00000000">
      <w:pPr>
        <w:spacing w:before="60" w:after="60" w:line="300" w:lineRule="auto"/>
        <w:ind w:left="720" w:hanging="720"/>
      </w:pPr>
      <w:r>
        <w:rPr>
          <w:sz w:val="22"/>
          <w:szCs w:val="22"/>
        </w:rPr>
        <w:t>Luria, S.E. &amp; Delbrück, M. (1943). Mutations of bacteria from virus sensitivity to virus resistance. Genetics, 28(6), 491–511.</w:t>
      </w:r>
    </w:p>
    <w:p w14:paraId="04F7B1E6" w14:textId="77777777" w:rsidR="00261742" w:rsidRDefault="00000000">
      <w:pPr>
        <w:spacing w:before="60" w:after="60" w:line="300" w:lineRule="auto"/>
        <w:ind w:left="720" w:hanging="720"/>
      </w:pPr>
      <w:r>
        <w:rPr>
          <w:sz w:val="22"/>
          <w:szCs w:val="22"/>
        </w:rPr>
        <w:t xml:space="preserve">Maharjan, R. &amp; </w:t>
      </w:r>
      <w:proofErr w:type="spellStart"/>
      <w:r>
        <w:rPr>
          <w:sz w:val="22"/>
          <w:szCs w:val="22"/>
        </w:rPr>
        <w:t>Ferenci</w:t>
      </w:r>
      <w:proofErr w:type="spellEnd"/>
      <w:r>
        <w:rPr>
          <w:sz w:val="22"/>
          <w:szCs w:val="22"/>
        </w:rPr>
        <w:t>, T. (2017). The fitness costs and benefits of antibiotic resistance in drug-free microenvironments encountered in the human body. Evolutionary Applications, 10(4), 294–306.</w:t>
      </w:r>
    </w:p>
    <w:p w14:paraId="2D708080" w14:textId="77777777" w:rsidR="00261742" w:rsidRDefault="00000000">
      <w:pPr>
        <w:spacing w:before="60" w:after="60" w:line="300" w:lineRule="auto"/>
        <w:ind w:left="720" w:hanging="720"/>
      </w:pPr>
      <w:r>
        <w:rPr>
          <w:sz w:val="22"/>
          <w:szCs w:val="22"/>
        </w:rPr>
        <w:t xml:space="preserve">Mariam, D.H., Mengistu, Y., Hoffner, S.E. &amp; Andersson, D.I. (2004). Effect of </w:t>
      </w:r>
      <w:proofErr w:type="spellStart"/>
      <w:r>
        <w:rPr>
          <w:sz w:val="22"/>
          <w:szCs w:val="22"/>
        </w:rPr>
        <w:t>rpoB</w:t>
      </w:r>
      <w:proofErr w:type="spellEnd"/>
      <w:r>
        <w:rPr>
          <w:sz w:val="22"/>
          <w:szCs w:val="22"/>
        </w:rPr>
        <w:t xml:space="preserve"> mutations conferring </w:t>
      </w:r>
      <w:proofErr w:type="spellStart"/>
      <w:r>
        <w:rPr>
          <w:sz w:val="22"/>
          <w:szCs w:val="22"/>
        </w:rPr>
        <w:t>rifampin</w:t>
      </w:r>
      <w:proofErr w:type="spellEnd"/>
      <w:r>
        <w:rPr>
          <w:sz w:val="22"/>
          <w:szCs w:val="22"/>
        </w:rPr>
        <w:t xml:space="preserve"> resistance on fitness of Mycobacterium tuberculosis. Antimicrobial Agents and Chemotherapy, 48(4), 1289–1294.</w:t>
      </w:r>
    </w:p>
    <w:p w14:paraId="4FFE6DF7" w14:textId="77777777" w:rsidR="00261742" w:rsidRDefault="00000000">
      <w:pPr>
        <w:spacing w:before="60" w:after="60" w:line="300" w:lineRule="auto"/>
        <w:ind w:left="720" w:hanging="720"/>
      </w:pPr>
      <w:r>
        <w:rPr>
          <w:sz w:val="22"/>
          <w:szCs w:val="22"/>
        </w:rPr>
        <w:t>Martinez, J.L. &amp; Baquero, F. (2000). Mutation frequencies and antibiotic resistance. Antimicrobial Agents and Chemotherapy, 44(7), 1771–1777.</w:t>
      </w:r>
    </w:p>
    <w:p w14:paraId="6ECD70CC" w14:textId="77777777" w:rsidR="00261742" w:rsidRDefault="00000000">
      <w:pPr>
        <w:spacing w:before="60" w:after="60" w:line="300" w:lineRule="auto"/>
        <w:ind w:left="720" w:hanging="720"/>
      </w:pPr>
      <w:proofErr w:type="spellStart"/>
      <w:r>
        <w:rPr>
          <w:sz w:val="22"/>
          <w:szCs w:val="22"/>
        </w:rPr>
        <w:t>Maudsdotter</w:t>
      </w:r>
      <w:proofErr w:type="spellEnd"/>
      <w:r>
        <w:rPr>
          <w:sz w:val="22"/>
          <w:szCs w:val="22"/>
        </w:rPr>
        <w:t>, L., Ushijima, Y. &amp; Morikawa, K. (2019). Fitness of spontaneous rifampicin-resistant Staphylococcus aureus isolates in a biofilm environment. Frontiers in Microbiology.</w:t>
      </w:r>
    </w:p>
    <w:p w14:paraId="5A6D3AAB" w14:textId="77777777" w:rsidR="00261742" w:rsidRDefault="00000000">
      <w:pPr>
        <w:spacing w:before="60" w:after="60" w:line="300" w:lineRule="auto"/>
        <w:ind w:left="720" w:hanging="720"/>
      </w:pPr>
      <w:r>
        <w:rPr>
          <w:sz w:val="22"/>
          <w:szCs w:val="22"/>
        </w:rPr>
        <w:lastRenderedPageBreak/>
        <w:t>Melnyk, A.H., Wong, A. &amp; Kassen, R. (2015). The fitness costs of antibiotic resistance mutations. Evolutionary Applications, 8(3), 273–283.</w:t>
      </w:r>
    </w:p>
    <w:p w14:paraId="2B709601" w14:textId="77777777" w:rsidR="00261742" w:rsidRDefault="00000000">
      <w:pPr>
        <w:spacing w:before="60" w:after="60" w:line="300" w:lineRule="auto"/>
        <w:ind w:left="720" w:hanging="720"/>
      </w:pPr>
      <w:r>
        <w:rPr>
          <w:sz w:val="22"/>
          <w:szCs w:val="22"/>
        </w:rPr>
        <w:t>Patwa, Z. &amp; Wahl, L.M. (2008). The fixation probability of beneficial mutations. Journal of the Royal Society Interface, 5(28), 1279–1289.</w:t>
      </w:r>
    </w:p>
    <w:p w14:paraId="19375CB6" w14:textId="77777777" w:rsidR="00261742" w:rsidRDefault="00000000">
      <w:pPr>
        <w:spacing w:before="60" w:after="60" w:line="300" w:lineRule="auto"/>
        <w:ind w:left="720" w:hanging="720"/>
      </w:pPr>
      <w:r>
        <w:rPr>
          <w:sz w:val="22"/>
          <w:szCs w:val="22"/>
        </w:rPr>
        <w:t xml:space="preserve">Qi, Q., Preston, G.M. &amp; MacLean, R.C. (2014). Linking system-wide impacts of RNA polymerase mutations to the fitness cost of </w:t>
      </w:r>
      <w:proofErr w:type="spellStart"/>
      <w:r>
        <w:rPr>
          <w:sz w:val="22"/>
          <w:szCs w:val="22"/>
        </w:rPr>
        <w:t>rifampin</w:t>
      </w:r>
      <w:proofErr w:type="spellEnd"/>
      <w:r>
        <w:rPr>
          <w:sz w:val="22"/>
          <w:szCs w:val="22"/>
        </w:rPr>
        <w:t xml:space="preserve"> resistance in Pseudomonas aeruginosa. mBio, 5(6), e01537-14.</w:t>
      </w:r>
    </w:p>
    <w:p w14:paraId="7BEC7C5E" w14:textId="77777777" w:rsidR="00261742" w:rsidRDefault="00000000">
      <w:pPr>
        <w:spacing w:before="60" w:after="60" w:line="300" w:lineRule="auto"/>
        <w:ind w:left="720" w:hanging="720"/>
      </w:pPr>
      <w:r>
        <w:rPr>
          <w:sz w:val="22"/>
          <w:szCs w:val="22"/>
        </w:rPr>
        <w:t>Qi, Q., Toll-Riera, M., Heilbron, K. &amp; Preston, G.M. (2016). The genomic basis of adaptation to the fitness cost of rifampicin resistance in Pseudomonas aeruginosa. Proceedings of the Royal Society B, 283(1822).</w:t>
      </w:r>
    </w:p>
    <w:p w14:paraId="3A6C2294" w14:textId="77777777" w:rsidR="00261742" w:rsidRDefault="00000000">
      <w:pPr>
        <w:spacing w:before="60" w:after="60" w:line="300" w:lineRule="auto"/>
        <w:ind w:left="720" w:hanging="720"/>
      </w:pPr>
      <w:r>
        <w:rPr>
          <w:sz w:val="22"/>
          <w:szCs w:val="22"/>
        </w:rPr>
        <w:t xml:space="preserve">Reynolds, M.G. (2000). Compensatory evolution in </w:t>
      </w:r>
      <w:proofErr w:type="spellStart"/>
      <w:r>
        <w:rPr>
          <w:sz w:val="22"/>
          <w:szCs w:val="22"/>
        </w:rPr>
        <w:t>rifampin</w:t>
      </w:r>
      <w:proofErr w:type="spellEnd"/>
      <w:r>
        <w:rPr>
          <w:sz w:val="22"/>
          <w:szCs w:val="22"/>
        </w:rPr>
        <w:t>-resistant Escherichia coli. Genetics, 156(4), 1471–1481.</w:t>
      </w:r>
    </w:p>
    <w:p w14:paraId="61774821" w14:textId="77777777" w:rsidR="00261742" w:rsidRDefault="00000000">
      <w:pPr>
        <w:spacing w:before="60" w:after="60" w:line="300" w:lineRule="auto"/>
        <w:ind w:left="720" w:hanging="720"/>
      </w:pPr>
      <w:proofErr w:type="spellStart"/>
      <w:r>
        <w:rPr>
          <w:sz w:val="22"/>
          <w:szCs w:val="22"/>
        </w:rPr>
        <w:t>Saebelfeld</w:t>
      </w:r>
      <w:proofErr w:type="spellEnd"/>
      <w:r>
        <w:rPr>
          <w:sz w:val="22"/>
          <w:szCs w:val="22"/>
        </w:rPr>
        <w:t xml:space="preserve">, M., Das, S.G., </w:t>
      </w:r>
      <w:proofErr w:type="spellStart"/>
      <w:r>
        <w:rPr>
          <w:sz w:val="22"/>
          <w:szCs w:val="22"/>
        </w:rPr>
        <w:t>Hagenbeek</w:t>
      </w:r>
      <w:proofErr w:type="spellEnd"/>
      <w:r>
        <w:rPr>
          <w:sz w:val="22"/>
          <w:szCs w:val="22"/>
        </w:rPr>
        <w:t>, A. et al. (2022). Stochastic establishment of β-lactam-resistant Escherichia coli mutants reveals conditions for collective resistance. PLOS Biology.</w:t>
      </w:r>
    </w:p>
    <w:p w14:paraId="3816F4F4" w14:textId="77777777" w:rsidR="00261742" w:rsidRDefault="00000000">
      <w:pPr>
        <w:spacing w:before="60" w:after="60" w:line="300" w:lineRule="auto"/>
        <w:ind w:left="720" w:hanging="720"/>
      </w:pPr>
      <w:proofErr w:type="spellStart"/>
      <w:r>
        <w:rPr>
          <w:sz w:val="22"/>
          <w:szCs w:val="22"/>
        </w:rPr>
        <w:t>Soidah</w:t>
      </w:r>
      <w:proofErr w:type="spellEnd"/>
      <w:r>
        <w:rPr>
          <w:sz w:val="22"/>
          <w:szCs w:val="22"/>
        </w:rPr>
        <w:t xml:space="preserve">, S., Subroto, T., Faizal, I. et al. (2025). Beyond hotspot mutations: diagnostic relevance of high frequency, low frequency, and disputed </w:t>
      </w:r>
      <w:proofErr w:type="spellStart"/>
      <w:r>
        <w:rPr>
          <w:sz w:val="22"/>
          <w:szCs w:val="22"/>
        </w:rPr>
        <w:t>rpoB</w:t>
      </w:r>
      <w:proofErr w:type="spellEnd"/>
      <w:r>
        <w:rPr>
          <w:sz w:val="22"/>
          <w:szCs w:val="22"/>
        </w:rPr>
        <w:t xml:space="preserve"> variants in rifampicin-resistant Mycobacterium tuberculosis. Diagnostics.</w:t>
      </w:r>
    </w:p>
    <w:p w14:paraId="63BFFBBF" w14:textId="77777777" w:rsidR="00261742" w:rsidRDefault="00000000">
      <w:pPr>
        <w:spacing w:before="60" w:after="60" w:line="300" w:lineRule="auto"/>
        <w:ind w:left="720" w:hanging="720"/>
      </w:pPr>
      <w:r>
        <w:rPr>
          <w:sz w:val="22"/>
          <w:szCs w:val="22"/>
        </w:rPr>
        <w:t xml:space="preserve">Wolff, E., Kim, M., Hu, K. et al. (2004). Polymerases leave fingerprints: analysis of the mutational spectrum in Escherichia coli </w:t>
      </w:r>
      <w:proofErr w:type="spellStart"/>
      <w:r>
        <w:rPr>
          <w:sz w:val="22"/>
          <w:szCs w:val="22"/>
        </w:rPr>
        <w:t>rpoB</w:t>
      </w:r>
      <w:proofErr w:type="spellEnd"/>
      <w:r>
        <w:rPr>
          <w:sz w:val="22"/>
          <w:szCs w:val="22"/>
        </w:rPr>
        <w:t xml:space="preserve"> to assess the role of polymerase IV in spontaneous mutation. Journal of Bacteriology, 186(9), 2900–2905.</w:t>
      </w:r>
    </w:p>
    <w:p w14:paraId="5729B6B0" w14:textId="77777777" w:rsidR="00261742" w:rsidRDefault="00000000">
      <w:pPr>
        <w:spacing w:before="60" w:after="60" w:line="300" w:lineRule="auto"/>
        <w:ind w:left="720" w:hanging="720"/>
      </w:pPr>
      <w:r>
        <w:rPr>
          <w:sz w:val="22"/>
          <w:szCs w:val="22"/>
        </w:rPr>
        <w:t>Yampolsky, L.Y. &amp; Stoltzfus, A. (2001). Bias in the introduction of variation as an orienting factor in evolution. Evolution and Development, 3(2), 73–83.</w:t>
      </w:r>
    </w:p>
    <w:sectPr w:rsidR="0026174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92D42"/>
    <w:multiLevelType w:val="hybridMultilevel"/>
    <w:tmpl w:val="2B32665E"/>
    <w:lvl w:ilvl="0" w:tplc="B42205F4">
      <w:start w:val="1"/>
      <w:numFmt w:val="bullet"/>
      <w:lvlText w:val="●"/>
      <w:lvlJc w:val="left"/>
      <w:pPr>
        <w:ind w:left="720" w:hanging="360"/>
      </w:pPr>
    </w:lvl>
    <w:lvl w:ilvl="1" w:tplc="C30E8BE0">
      <w:start w:val="1"/>
      <w:numFmt w:val="bullet"/>
      <w:lvlText w:val="○"/>
      <w:lvlJc w:val="left"/>
      <w:pPr>
        <w:ind w:left="1440" w:hanging="360"/>
      </w:pPr>
    </w:lvl>
    <w:lvl w:ilvl="2" w:tplc="78E689CE">
      <w:start w:val="1"/>
      <w:numFmt w:val="bullet"/>
      <w:lvlText w:val="■"/>
      <w:lvlJc w:val="left"/>
      <w:pPr>
        <w:ind w:left="2160" w:hanging="360"/>
      </w:pPr>
    </w:lvl>
    <w:lvl w:ilvl="3" w:tplc="30B4C9FA">
      <w:start w:val="1"/>
      <w:numFmt w:val="bullet"/>
      <w:lvlText w:val="●"/>
      <w:lvlJc w:val="left"/>
      <w:pPr>
        <w:ind w:left="2880" w:hanging="360"/>
      </w:pPr>
    </w:lvl>
    <w:lvl w:ilvl="4" w:tplc="0878294C">
      <w:start w:val="1"/>
      <w:numFmt w:val="bullet"/>
      <w:lvlText w:val="○"/>
      <w:lvlJc w:val="left"/>
      <w:pPr>
        <w:ind w:left="3600" w:hanging="360"/>
      </w:pPr>
    </w:lvl>
    <w:lvl w:ilvl="5" w:tplc="BCE67854">
      <w:start w:val="1"/>
      <w:numFmt w:val="bullet"/>
      <w:lvlText w:val="■"/>
      <w:lvlJc w:val="left"/>
      <w:pPr>
        <w:ind w:left="4320" w:hanging="360"/>
      </w:pPr>
    </w:lvl>
    <w:lvl w:ilvl="6" w:tplc="9B8253F2">
      <w:start w:val="1"/>
      <w:numFmt w:val="bullet"/>
      <w:lvlText w:val="●"/>
      <w:lvlJc w:val="left"/>
      <w:pPr>
        <w:ind w:left="5040" w:hanging="360"/>
      </w:pPr>
    </w:lvl>
    <w:lvl w:ilvl="7" w:tplc="C86C6570">
      <w:start w:val="1"/>
      <w:numFmt w:val="bullet"/>
      <w:lvlText w:val="●"/>
      <w:lvlJc w:val="left"/>
      <w:pPr>
        <w:ind w:left="5760" w:hanging="360"/>
      </w:pPr>
    </w:lvl>
    <w:lvl w:ilvl="8" w:tplc="03120E3C">
      <w:start w:val="1"/>
      <w:numFmt w:val="bullet"/>
      <w:lvlText w:val="●"/>
      <w:lvlJc w:val="left"/>
      <w:pPr>
        <w:ind w:left="6480" w:hanging="360"/>
      </w:pPr>
    </w:lvl>
  </w:abstractNum>
  <w:num w:numId="1" w16cid:durableId="18320620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742"/>
    <w:rsid w:val="000A70FC"/>
    <w:rsid w:val="00261742"/>
    <w:rsid w:val="004C3E75"/>
    <w:rsid w:val="009B33DD"/>
    <w:rsid w:val="00ED693D"/>
    <w:rsid w:val="00F6324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E1A02"/>
  <w15:docId w15:val="{DE50598D-A637-4A99-8ED2-3DBED8FE8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A3A5C"/>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4529</Words>
  <Characters>25817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Ziqing Liu</cp:lastModifiedBy>
  <cp:revision>4</cp:revision>
  <dcterms:created xsi:type="dcterms:W3CDTF">2026-07-02T06:55:00Z</dcterms:created>
  <dcterms:modified xsi:type="dcterms:W3CDTF">2026-07-02T07:02:00Z</dcterms:modified>
</cp:coreProperties>
</file>