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BD9D" w14:textId="77777777" w:rsidR="00BA7B27" w:rsidRDefault="00000000">
      <w:pPr>
        <w:spacing w:before="480" w:after="200"/>
        <w:jc w:val="center"/>
      </w:pPr>
      <w:r>
        <w:rPr>
          <w:b/>
          <w:bCs/>
          <w:sz w:val="40"/>
          <w:szCs w:val="40"/>
        </w:rPr>
        <w:t xml:space="preserve">What Determines What We Observe? Mutation Frequency versus Establishment Frequency in the Distribution of </w:t>
      </w:r>
      <w:proofErr w:type="spellStart"/>
      <w:r>
        <w:rPr>
          <w:b/>
          <w:bCs/>
          <w:sz w:val="40"/>
          <w:szCs w:val="40"/>
        </w:rPr>
        <w:t>rpoB</w:t>
      </w:r>
      <w:proofErr w:type="spellEnd"/>
      <w:r>
        <w:rPr>
          <w:b/>
          <w:bCs/>
          <w:sz w:val="40"/>
          <w:szCs w:val="40"/>
        </w:rPr>
        <w:t xml:space="preserve"> Resistance Mutations</w:t>
      </w:r>
    </w:p>
    <w:p w14:paraId="6B38D07A" w14:textId="77777777" w:rsidR="00BA7B27" w:rsidRDefault="00000000">
      <w:pPr>
        <w:spacing w:after="600"/>
        <w:jc w:val="center"/>
      </w:pPr>
      <w:r>
        <w:rPr>
          <w:i/>
          <w:iCs/>
          <w:color w:val="444444"/>
          <w:sz w:val="26"/>
          <w:szCs w:val="26"/>
        </w:rPr>
        <w:t>A Literature Review in the Context of Luria–Delbrück Fluctuation Experiments</w:t>
      </w:r>
    </w:p>
    <w:p w14:paraId="7DA2CB1C" w14:textId="77777777" w:rsidR="00BA7B27" w:rsidRDefault="00000000">
      <w:pPr>
        <w:pStyle w:val="Heading1"/>
      </w:pPr>
      <w:r>
        <w:t>1. Introduction</w:t>
      </w:r>
    </w:p>
    <w:p w14:paraId="6956EC94" w14:textId="77777777" w:rsidR="00BA7B27" w:rsidRDefault="00000000">
      <w:pPr>
        <w:spacing w:after="160" w:line="360" w:lineRule="auto"/>
        <w:ind w:firstLine="720"/>
        <w:jc w:val="both"/>
      </w:pPr>
      <w:r>
        <w:t xml:space="preserve">When populations of Escherichia coli are subjected to repeated Luria–Delbrück fluctuation experiments and plated onto rifampicin-containing media, the spectrum of </w:t>
      </w:r>
      <w:proofErr w:type="spellStart"/>
      <w:r>
        <w:t>rpoB</w:t>
      </w:r>
      <w:proofErr w:type="spellEnd"/>
      <w:r>
        <w:t xml:space="preserve"> mutations recovered is strikingly non-uniform. Certain resistance alleles dominate the recovered pool experiment after experiment, while others — equally capable of conferring resistance in principle — appear rarely or not at all. This observation sits at the heart of a fundamental unresolved question: is the uneven distribution of recovered </w:t>
      </w:r>
      <w:proofErr w:type="spellStart"/>
      <w:r>
        <w:t>rpoB</w:t>
      </w:r>
      <w:proofErr w:type="spellEnd"/>
      <w:r>
        <w:t xml:space="preserve"> mutations primarily a reflection of uneven mutation frequencies (some alleles arise more often because of mutational biases in the underlying DNA chemistry), or does it reflect uneven establishment frequencies (all alleles arise at broadly similar rates, but some are more likely to survive their early stochastic trajectory from a single cell to a detectable clone)? Disentangling these two contributions is not merely a technical challenge. It determines whether the spectrum of resistance alleles is set upstream of selection — in the biochemistry of DNA replication and repair — or downstream of it, in the stochastic population dynamics of single founding cells.</w:t>
      </w:r>
    </w:p>
    <w:p w14:paraId="46BEC9E6" w14:textId="77777777" w:rsidR="00BA7B27" w:rsidRDefault="00000000">
      <w:pPr>
        <w:spacing w:after="160" w:line="360" w:lineRule="auto"/>
        <w:ind w:firstLine="720"/>
        <w:jc w:val="both"/>
      </w:pPr>
      <w:r>
        <w:t xml:space="preserve">This distinction matters enormously for predicting and interpreting evolutionary outcomes in the clinic and the laboratory alike (Horton &amp; Taylor, 2023; Lenormand, Roze &amp; Rousset, 2009). If mutation frequency is the dominant driver, the distribution of recovered alleles becomes a readout of mutational architecture: hotspots in </w:t>
      </w:r>
      <w:proofErr w:type="spellStart"/>
      <w:r>
        <w:t>rpoB</w:t>
      </w:r>
      <w:proofErr w:type="spellEnd"/>
      <w:r>
        <w:t xml:space="preserve"> sequence, replication-error signatures, environmental modulation of the mutation spectrum (Gifford et al., 2024; Wolff et al., 2004; Leehan et al., 2021). If establishment frequency is the dominant driver, the distribution becomes a readout of stochastic population dynamics: which single-cell lineages survive their birth, which succumb to </w:t>
      </w:r>
      <w:r>
        <w:lastRenderedPageBreak/>
        <w:t xml:space="preserve">chance death before reproducing, and how antibiotic concentration, growth environment, and genotype collectively determine the probability of outgrowth from a lone founding cell (Alexander &amp; MacLean, 2020; </w:t>
      </w:r>
      <w:proofErr w:type="spellStart"/>
      <w:r>
        <w:t>Saebelfeld</w:t>
      </w:r>
      <w:proofErr w:type="spellEnd"/>
      <w:r>
        <w:t xml:space="preserve"> et al., 2022; Alexander, 2023). In practice, both mechanisms almost certainly operate simultaneously; the central challenge is to determine their relative contributions and identify where each can be experimentally isolated.</w:t>
      </w:r>
    </w:p>
    <w:p w14:paraId="2054581F" w14:textId="77777777" w:rsidR="00BA7B27" w:rsidRDefault="00000000">
      <w:pPr>
        <w:spacing w:after="160" w:line="360" w:lineRule="auto"/>
        <w:ind w:firstLine="720"/>
        <w:jc w:val="both"/>
      </w:pPr>
      <w:r>
        <w:t xml:space="preserve">This review builds the case for taking establishment frequency seriously as a candidate explanation for the uneven distribution of </w:t>
      </w:r>
      <w:proofErr w:type="spellStart"/>
      <w:r>
        <w:t>rpoB</w:t>
      </w:r>
      <w:proofErr w:type="spellEnd"/>
      <w:r>
        <w:t xml:space="preserve"> mutations in fluctuation experiments. We begin with the stochastic nature of mutation itself, then review the empirical evidence for non-uniform mutation distributions, explain the Luria–Delbrück framework and its statistical predictions, and conclude by examining stochastic establishment and stochastic mortality as mechanistic processes that can generate — or amplify — the skewed allele distributions we observe. Throughout, we return to the central question: is what we observe in the Petri dish a consequence of what arises in the culture, or of what survives it?</w:t>
      </w:r>
    </w:p>
    <w:p w14:paraId="5EC54F63" w14:textId="77777777" w:rsidR="00BA7B27" w:rsidRDefault="00BA7B27">
      <w:pPr>
        <w:spacing w:before="80" w:after="80"/>
      </w:pPr>
    </w:p>
    <w:p w14:paraId="528376A9" w14:textId="77777777" w:rsidR="00BA7B27" w:rsidRDefault="00000000">
      <w:pPr>
        <w:pStyle w:val="Heading1"/>
      </w:pPr>
      <w:r>
        <w:t>2. Stochasticity of Mutations</w:t>
      </w:r>
    </w:p>
    <w:p w14:paraId="186C083D" w14:textId="77777777" w:rsidR="00BA7B27" w:rsidRDefault="00000000">
      <w:pPr>
        <w:spacing w:after="160" w:line="360" w:lineRule="auto"/>
        <w:ind w:firstLine="720"/>
        <w:jc w:val="both"/>
      </w:pPr>
      <w:r>
        <w:t>Mutation is an inherently probabilistic event, occurring as a consequence of replication errors, base deamination, oxidative damage, and the failure of repair pathways to correct the resulting lesions (Schroeder et al., 2018). The per-base-pair mutation rate in wild-type E. coli is on the order of 10⁻⁹ to 10⁻¹⁰ per generation — low enough that any individual cell is vanishingly unlikely to mutate at a specific site in any given division, yet high enough that populations reaching densities of 10⁸ to 10⁹ cells generate measurable numbers of specific mutants in a single culture (Martinez &amp; Baquero, 2000). This interplay between low per-cell probability and large population size is what makes bacterial genetics tractable and makes the fluctuation experiment possible: the signal is detectable precisely because bacterial populations are large.</w:t>
      </w:r>
    </w:p>
    <w:p w14:paraId="0384D3A5" w14:textId="77777777" w:rsidR="00BA7B27" w:rsidRDefault="00000000">
      <w:pPr>
        <w:spacing w:after="160" w:line="360" w:lineRule="auto"/>
        <w:ind w:firstLine="720"/>
        <w:jc w:val="both"/>
      </w:pPr>
      <w:r>
        <w:t xml:space="preserve">Mutation, however, is not simply a uniform Poisson process distributed evenly across the genome and across sequence contexts. Horton and Taylor (2023) review </w:t>
      </w:r>
      <w:r>
        <w:lastRenderedPageBreak/>
        <w:t>extensive evidence that mutation is biased: certain nucleotide contexts, genomic positions, and DNA structural features are disproportionately prone to mutational change. These biases arise from multiple sources, including the inherent chemistry of different base substitutions, the accessibility of different genomic regions to repair enzymes, secondary structures that stall the replication fork, and the activity of error-prone polymerases with characteristic mutational signatures (Wolff et al., 2004; Schroeder et al., 2018). The practical consequence is that even before a single selective step, the pool of mutants generated in a culture is non-random.</w:t>
      </w:r>
    </w:p>
    <w:p w14:paraId="19B81F5C" w14:textId="77777777" w:rsidR="00BA7B27" w:rsidRDefault="00000000">
      <w:pPr>
        <w:spacing w:after="160" w:line="360" w:lineRule="auto"/>
        <w:ind w:firstLine="720"/>
        <w:jc w:val="both"/>
      </w:pPr>
      <w:r>
        <w:t xml:space="preserve">The environment modulates this already-biased process further. Gifford et al. (2024) used fluctuation tests in E. coli to show that the spectrum — not just the rate — of spontaneous mutations differs between high- and low-glucose growth conditions, with AT→GC transitions elevated in nutrient-restricted environments due to altered activity of DNA repair processes linked to methyl-recycling. Similarly, Leehan et al. (2021) performed fluctuation analyses in Bacillus subtilis under two distinct media conditions and found that LB medium produced a spectrum dominated by H482Y, while minimal medium produced a spectrum dominated by S487L — a stark difference in which </w:t>
      </w:r>
      <w:proofErr w:type="spellStart"/>
      <w:r>
        <w:t>rpoB</w:t>
      </w:r>
      <w:proofErr w:type="spellEnd"/>
      <w:r>
        <w:t xml:space="preserve"> codon was mutated most often depending solely on the growth environment. Krašovec et al. (2014) added a further layer of complexity by demonstrating that mutation rate at the </w:t>
      </w:r>
      <w:proofErr w:type="spellStart"/>
      <w:r>
        <w:t>rpoB</w:t>
      </w:r>
      <w:proofErr w:type="spellEnd"/>
      <w:r>
        <w:t xml:space="preserve"> locus in E. coli is inversely correlated with population density via quorum sensing, meaning that the cellular density conditions in which a fluctuation experiment is conducted can affect the raw rate of mutation supply.</w:t>
      </w:r>
    </w:p>
    <w:p w14:paraId="4797CBA9" w14:textId="77777777" w:rsidR="00BA7B27" w:rsidRDefault="00000000">
      <w:pPr>
        <w:spacing w:after="160" w:line="360" w:lineRule="auto"/>
        <w:ind w:firstLine="720"/>
        <w:jc w:val="both"/>
      </w:pPr>
      <w:r>
        <w:t xml:space="preserve">These results have an important implication for interpreting our experimental observations: if the </w:t>
      </w:r>
      <w:proofErr w:type="spellStart"/>
      <w:r>
        <w:t>rpoB</w:t>
      </w:r>
      <w:proofErr w:type="spellEnd"/>
      <w:r>
        <w:t xml:space="preserve"> mutations we recover more often also happen to be at positions that are intrinsically more mutable — either because of local sequence context or because of environment-specific effects on the mutation spectrum — then the uneven distribution of recovered alleles could be fully explained by differential mutation supply without invoking any differences in what happens to mutants after they arise. However, as we discuss below, mutational bias and establishment probability are not mutually exclusive, and their contributions must be disentangled rather than assumed.</w:t>
      </w:r>
    </w:p>
    <w:p w14:paraId="256CF7ED" w14:textId="77777777" w:rsidR="00BA7B27" w:rsidRDefault="00BA7B27">
      <w:pPr>
        <w:spacing w:before="80" w:after="80"/>
      </w:pPr>
    </w:p>
    <w:p w14:paraId="606FF74B" w14:textId="77777777" w:rsidR="00BA7B27" w:rsidRDefault="00000000">
      <w:pPr>
        <w:pStyle w:val="Heading1"/>
      </w:pPr>
      <w:r>
        <w:lastRenderedPageBreak/>
        <w:t xml:space="preserve">3. Uneven Distribution of Mutations: Why Some </w:t>
      </w:r>
      <w:proofErr w:type="spellStart"/>
      <w:r>
        <w:t>rpoB</w:t>
      </w:r>
      <w:proofErr w:type="spellEnd"/>
      <w:r>
        <w:t xml:space="preserve"> Alleles Appear More Than Others</w:t>
      </w:r>
    </w:p>
    <w:p w14:paraId="426EDAED" w14:textId="77777777" w:rsidR="00BA7B27" w:rsidRDefault="00000000">
      <w:pPr>
        <w:spacing w:after="160" w:line="360" w:lineRule="auto"/>
        <w:ind w:firstLine="720"/>
        <w:jc w:val="both"/>
      </w:pPr>
      <w:r>
        <w:t xml:space="preserve">The empirical record is unambiguous that the spectrum of </w:t>
      </w:r>
      <w:proofErr w:type="spellStart"/>
      <w:r>
        <w:t>rpoB</w:t>
      </w:r>
      <w:proofErr w:type="spellEnd"/>
      <w:r>
        <w:t xml:space="preserve"> mutations recovered from fluctuation experiments or clinical surveys is highly non-uniform. In Mycobacterium tuberculosis, Cummings and Segal (2004) showed that just two amino acid positions — codon 526 and codon 531 (equivalent to S450L and H526D/Y in updated numbering) — together account for a large majority of </w:t>
      </w:r>
      <w:proofErr w:type="spellStart"/>
      <w:r>
        <w:t>rifampin</w:t>
      </w:r>
      <w:proofErr w:type="spellEnd"/>
      <w:r>
        <w:t xml:space="preserve">-resistant clinical isolates, with position 531 alone producing a partition in MIC of approximately one hundredfold. </w:t>
      </w:r>
      <w:proofErr w:type="spellStart"/>
      <w:r>
        <w:t>Soidah</w:t>
      </w:r>
      <w:proofErr w:type="spellEnd"/>
      <w:r>
        <w:t xml:space="preserve"> et al. (2025) extended this picture, confirming the dominance of S450L, H445Y/D, and D435V among high-frequency mutations while identifying a broader tail of low-frequency and disputed variants that remain diagnostically invisible to hotspot-based assays. In E. coli, Wolff et al. (2004) found characteristic mutational fingerprints at specific </w:t>
      </w:r>
      <w:proofErr w:type="spellStart"/>
      <w:r>
        <w:t>rpoB</w:t>
      </w:r>
      <w:proofErr w:type="spellEnd"/>
      <w:r>
        <w:t xml:space="preserve"> positions depending on whether Polymerase IV was active, identifying both constitutive hotspots and context-specific ones. </w:t>
      </w:r>
      <w:proofErr w:type="spellStart"/>
      <w:r>
        <w:t>Huitric</w:t>
      </w:r>
      <w:proofErr w:type="spellEnd"/>
      <w:r>
        <w:t xml:space="preserve"> et al. (2006) observed that in vitro selection of 189 M. tuberculosis mutants produced a distribution broadly similar to clinical isolates, albeit with elevated codon 522 mutations and a detectable rate of large deletions not typical of clinical samples.</w:t>
      </w:r>
    </w:p>
    <w:p w14:paraId="31D19868" w14:textId="77777777" w:rsidR="00BA7B27" w:rsidRDefault="00000000">
      <w:pPr>
        <w:spacing w:after="160" w:line="360" w:lineRule="auto"/>
        <w:ind w:firstLine="720"/>
        <w:jc w:val="both"/>
      </w:pPr>
      <w:r>
        <w:t xml:space="preserve">Several mechanisms contribute to this concentration of alleles at a small number of positions. First, as discussed above, mutational hotspots mean that some codons are simply mutated more often due to local sequence features; a cytosine in a certain context is deaminated to uracil more frequently, a guanine at a certain site is oxidised more readily, or the replication fork is stalled more predictably. Second, not all possible amino acid substitutions within the rifampicin resistance determining region (RRDR) produce the same level of resistance: Billington et al. (1999) induced rifampicin resistance in M. tuberculosis in vitro and found only three detectable resistance patterns by SSCP analysis, suggesting that most positions in the RRDR simply cannot mutate to produce functional resistance. Third, resistance mutations differ in the fitness costs they impose. Reynolds (2000) measured fitness burdens for 28 independent </w:t>
      </w:r>
      <w:proofErr w:type="spellStart"/>
      <w:r>
        <w:t>rifr</w:t>
      </w:r>
      <w:proofErr w:type="spellEnd"/>
      <w:r>
        <w:t xml:space="preserve"> E. coli mutants and found costs ranging from 0 to 28% per generation — a vast range suggesting that different alleles impose very different penalties on growth rate in the absence of antibiotic. Jin and Gross (1989) further showed that different </w:t>
      </w:r>
      <w:proofErr w:type="spellStart"/>
      <w:r>
        <w:t>rpoB</w:t>
      </w:r>
      <w:proofErr w:type="spellEnd"/>
      <w:r>
        <w:t xml:space="preserve"> alleles produce distinct pleiotropic </w:t>
      </w:r>
      <w:r>
        <w:lastRenderedPageBreak/>
        <w:t>phenotypes in E. coli, including effects on transcription termination, temperature sensitivity, and phage susceptibility — meaning each allele creates a functionally distinct organism with a unique ecological profile.</w:t>
      </w:r>
    </w:p>
    <w:p w14:paraId="50D08D3F" w14:textId="77777777" w:rsidR="00BA7B27" w:rsidRDefault="00000000">
      <w:pPr>
        <w:spacing w:after="160" w:line="360" w:lineRule="auto"/>
        <w:ind w:firstLine="720"/>
        <w:jc w:val="both"/>
      </w:pPr>
      <w:r>
        <w:t>The fitness cost dimension is directly relevant to the central question because it predicts differential establishment: an allele with a high fitness cost will grow more slowly as a founding single cell under non-selective conditions, increasing the probability of stochastic loss before the lineage becomes self-sustaining. An allele with a low fitness cost — or with compensatory effects that partially offset resistance costs — will grow at near-wild-type rate and will have a higher establishment probability. If the alleles most commonly recovered are also those with the lowest fitness costs, this would point toward establishment frequency rather than (or in addition to) mutation frequency as the driver of the observed distribution. Designing experiments that can separate these contributions — for example by measuring individual allele mutation rates separately from individual allele establishment probabilities — is therefore a priority for future work.</w:t>
      </w:r>
    </w:p>
    <w:p w14:paraId="6BC77DF4" w14:textId="77777777" w:rsidR="00BA7B27" w:rsidRDefault="00BA7B27">
      <w:pPr>
        <w:spacing w:before="80" w:after="80"/>
      </w:pPr>
    </w:p>
    <w:p w14:paraId="5F37F233" w14:textId="77777777" w:rsidR="00BA7B27" w:rsidRDefault="00000000">
      <w:pPr>
        <w:pStyle w:val="Heading1"/>
      </w:pPr>
      <w:r>
        <w:t>4. The Luria–Delbrück Experiment: Poisson Distribution versus Jackpot Mutations</w:t>
      </w:r>
    </w:p>
    <w:p w14:paraId="00537269" w14:textId="77777777" w:rsidR="00BA7B27" w:rsidRDefault="00000000">
      <w:pPr>
        <w:spacing w:after="160" w:line="360" w:lineRule="auto"/>
        <w:ind w:firstLine="720"/>
        <w:jc w:val="both"/>
      </w:pPr>
      <w:r>
        <w:t xml:space="preserve">The fluctuation experiment, first described by Luria and Delbrück (1943), remains the foundational tool for measuring spontaneous mutation rates in bacteria and for characterising the statistical properties of the mutant distribution. In the original design, multiple replicate cultures of E. coli are grown from small </w:t>
      </w:r>
      <w:proofErr w:type="spellStart"/>
      <w:r>
        <w:t>inocula</w:t>
      </w:r>
      <w:proofErr w:type="spellEnd"/>
      <w:r>
        <w:t xml:space="preserve"> to large populations, then plated on bacteriophage to score resistant colonies. The experiment was designed to distinguish between two competing hypotheses: directed (Lamarckian) mutation, in which resistance arises as a direct response to phage exposure; and pre-adaptive, random mutation, in which resistance arises stochastically during growth before any selective encounter. Directed mutation predicts a Poisson distribution of resistant colony counts across cultures — low variance relative to the mean — because each bacterium independently becomes resistant upon phage exposure, and counts across cultures should cluster tightly around their expectation. Pre-adaptive mutation predicts a highly </w:t>
      </w:r>
      <w:proofErr w:type="spellStart"/>
      <w:r>
        <w:t>overdispersed</w:t>
      </w:r>
      <w:proofErr w:type="spellEnd"/>
      <w:r>
        <w:t xml:space="preserve"> distribution because early-arising mutants seed large clones by the end of </w:t>
      </w:r>
      <w:r>
        <w:lastRenderedPageBreak/>
        <w:t>growth, producing occasional cultures with enormous numbers of resistants (jackpot cultures) alongside many cultures with few or none.</w:t>
      </w:r>
    </w:p>
    <w:p w14:paraId="1C58DE7E" w14:textId="77777777" w:rsidR="00BA7B27" w:rsidRDefault="00000000">
      <w:pPr>
        <w:spacing w:after="160" w:line="360" w:lineRule="auto"/>
        <w:ind w:firstLine="720"/>
        <w:jc w:val="both"/>
      </w:pPr>
      <w:r>
        <w:t>Luria and Delbrück's data showed unmistakably high variance — far beyond Poisson — conclusively supporting pre-adaptive, spontaneous mutation (Luria &amp; Delbrück, 1943). Lenski, Slatkin, and Ayala (1989) revisited the interpretation of fluctuation experiments and formalised the statistical framework for distinguishing hypotheses, warning that alternative explanations — including pre-plating selection against mutants based on growth rate differences, or two-step mutation processes — could generate pseudo-Lamarckian distributions and must be controlled for before accepting any specific mechanistic interpretation. Their paper remains an important caution against over-interpreting fluctuation data without rigorous statistical analysis.</w:t>
      </w:r>
    </w:p>
    <w:p w14:paraId="185C5208" w14:textId="77777777" w:rsidR="00BA7B27" w:rsidRDefault="00000000">
      <w:pPr>
        <w:spacing w:after="160" w:line="360" w:lineRule="auto"/>
        <w:ind w:firstLine="720"/>
        <w:jc w:val="both"/>
      </w:pPr>
      <w:r>
        <w:t>The statistical core of the Luria–Delbrück result is the departure from Poisson. In a Poisson process, every individual has an equal probability of the event of interest, giving a variance equal to the mean. In a Luria–Delbrück process, the variance is much larger because early-arising mutants give rise to large clones that dominate the count in certain cultures — the jackpot event. Fusco et al. (2016) extended this analysis to spatially structured populations, tracking mutant clones in expanding microbial colonies using fluorescence microscopy. They found that jackpot events — mutant clones of unusually large size — were massively enriched in spatial populations compared to well-mixed cultures, because in a growing colony front, mutations occurring at the expansion edge are geometrically amplified as the colony expands. This means that the distribution of mutant frequencies in a colony-based experiment has an even heavier tail than the classical well-mixed Luria–Delbrück distribution, with profound implications for interpreting any experiment involving colonies on solid media.</w:t>
      </w:r>
    </w:p>
    <w:p w14:paraId="28C3BEFF" w14:textId="77777777" w:rsidR="00BA7B27" w:rsidRDefault="00000000">
      <w:pPr>
        <w:spacing w:after="160" w:line="360" w:lineRule="auto"/>
        <w:ind w:firstLine="720"/>
        <w:jc w:val="both"/>
      </w:pPr>
      <w:r>
        <w:t xml:space="preserve">The Luria–Delbrück framework also connects directly to the central question of this review. Even if mutation frequencies across alleles were perfectly uniform — every possible </w:t>
      </w:r>
      <w:proofErr w:type="spellStart"/>
      <w:r>
        <w:t>rpoB</w:t>
      </w:r>
      <w:proofErr w:type="spellEnd"/>
      <w:r>
        <w:t xml:space="preserve"> resistance mutation arising with equal probability per replication — the jackpot statistics would ensure that the alleles most commonly recovered are those that happened to arise earliest in the culture that generated the most survivors. This means that observed allele frequency distributions from fluctuation experiments carry an </w:t>
      </w:r>
      <w:r>
        <w:lastRenderedPageBreak/>
        <w:t>enormous stochastic component that is independent of both mutation rate and establishment probability; sampling from a handful of cultures is inherently noisy. Increasing the number of replicate cultures and using rigorous statistical inference (maximum likelihood estimation of mutation rates across the full distribution rather than simple counting of colony frequencies) is therefore essential to distinguish genuine differences in allele frequency from artefacts of jackpot sampling.</w:t>
      </w:r>
    </w:p>
    <w:p w14:paraId="7882F80D" w14:textId="77777777" w:rsidR="00BA7B27" w:rsidRDefault="00BA7B27">
      <w:pPr>
        <w:spacing w:before="80" w:after="80"/>
      </w:pPr>
    </w:p>
    <w:p w14:paraId="53730C7F" w14:textId="77777777" w:rsidR="00BA7B27" w:rsidRDefault="00000000">
      <w:pPr>
        <w:pStyle w:val="Heading1"/>
      </w:pPr>
      <w:r>
        <w:t>5. Mutation Frequency versus Establishment Frequency: The Central Question</w:t>
      </w:r>
    </w:p>
    <w:p w14:paraId="7FB3550D" w14:textId="77777777" w:rsidR="00BA7B27" w:rsidRDefault="00000000">
      <w:pPr>
        <w:spacing w:after="160" w:line="360" w:lineRule="auto"/>
        <w:ind w:firstLine="720"/>
        <w:jc w:val="both"/>
      </w:pPr>
      <w:r>
        <w:t xml:space="preserve">The central interpretive challenge of our experiments is this: when we observe that some </w:t>
      </w:r>
      <w:proofErr w:type="spellStart"/>
      <w:r>
        <w:t>rpoB</w:t>
      </w:r>
      <w:proofErr w:type="spellEnd"/>
      <w:r>
        <w:t xml:space="preserve"> mutations appear in more cultures, or at higher frequencies within cultures, than others, does this reflect the rate at which those mutations arise (mutation frequency), or the probability that they survive their earliest stochastic trajectory from a single mutant cell (establishment frequency), or some combination of both? This is not a semantic distinction. If mutation frequency drives the distribution, interventions aimed at altering resistance evolution should target the mutational process — the fidelity of replication, the activity of error-prone polymerases, the repair pathways accessible to different base lesions. If establishment frequency drives the distribution, interventions should instead target the conditions of early clonal growth — the antibiotic concentration during the window when a nascent resistant lineage is still fragile, the physical environment that determines whether a single cell can grow without competition, and the genotype-specific growth rate that determines how rapidly the founding lineage escapes the zone of demographic stochasticity.</w:t>
      </w:r>
    </w:p>
    <w:p w14:paraId="1DD2C9AA" w14:textId="77777777" w:rsidR="00BA7B27" w:rsidRDefault="00000000">
      <w:pPr>
        <w:spacing w:after="160" w:line="360" w:lineRule="auto"/>
        <w:ind w:firstLine="720"/>
        <w:jc w:val="both"/>
      </w:pPr>
      <w:r>
        <w:t xml:space="preserve">The theoretical basis for taking establishment frequency seriously as a driver is well developed. Alexander and MacLean (2020) demonstrated directly in Pseudomonas aeruginosa that the probability of detectable outgrowth from a single resistant cell — the establishment probability — is often below 5%, even at antibiotic concentrations that strongly favour resistant cells over sensitive ones. This low establishment probability is a consequence of the inherently stochastic nature of cell division and death at the single-cell level: in a branching process model, a new mutant cell divides and dies at rates b and </w:t>
      </w:r>
      <w:r>
        <w:lastRenderedPageBreak/>
        <w:t>d, and the probability that its lineage is lost by chance before reaching self-sustaining size is approximately (d/</w:t>
      </w:r>
      <w:proofErr w:type="gramStart"/>
      <w:r>
        <w:t>b)^</w:t>
      </w:r>
      <w:proofErr w:type="gramEnd"/>
      <w:r>
        <w:t>n, which approaches 1 as n → 0. Even a net selective advantage of 10% leaves an establishment probability below 20% for a single founding cell. Patwa and Wahl (2008) reviewed the mathematical theory underpinning this result and showed that fixation probability in finite populations approximates 2s</w:t>
      </w:r>
      <w:proofErr w:type="gramStart"/>
      <w:r>
        <w:t>/(</w:t>
      </w:r>
      <w:proofErr w:type="gramEnd"/>
      <w:r>
        <w:t xml:space="preserve">1 − s²) ≈ 2s for small advantages s, confirming that even beneficial mutations are frequently lost, with this probability depending sensitively on effective population size, fluctuations in the environment, and the demographic structure of the population (Danino &amp; </w:t>
      </w:r>
      <w:proofErr w:type="spellStart"/>
      <w:r>
        <w:t>Shnerb</w:t>
      </w:r>
      <w:proofErr w:type="spellEnd"/>
      <w:r>
        <w:t>, 2018).</w:t>
      </w:r>
    </w:p>
    <w:p w14:paraId="3A8F2EA3" w14:textId="77777777" w:rsidR="00BA7B27" w:rsidRDefault="00000000">
      <w:pPr>
        <w:spacing w:after="160" w:line="360" w:lineRule="auto"/>
        <w:ind w:firstLine="720"/>
        <w:jc w:val="both"/>
      </w:pPr>
      <w:r>
        <w:t xml:space="preserve">Crucially, establishment probability is not the same for all </w:t>
      </w:r>
      <w:proofErr w:type="spellStart"/>
      <w:r>
        <w:t>rpoB</w:t>
      </w:r>
      <w:proofErr w:type="spellEnd"/>
      <w:r>
        <w:t xml:space="preserve"> alleles. Alleles with high fitness costs grow more slowly as founding single cells, which means their birth rate b is lower relative to their death rate d, increasing the probability of stochastic loss. Alleles that happen to arise under environmental conditions (high nutrient, low antibiotic) that permit faster growth will have higher establishment probability. </w:t>
      </w:r>
      <w:proofErr w:type="spellStart"/>
      <w:r>
        <w:t>Saebelfeld</w:t>
      </w:r>
      <w:proofErr w:type="spellEnd"/>
      <w:r>
        <w:t xml:space="preserve"> et al. (2022) quantified this explicitly for four E. coli strains expressing beta-lactamase alleles with different activities and found that establishment probability varied substantially among genotypes and was suppressed even at antibiotic concentrations well below the MIC of each strain. Importantly, they also found greater variability in establishment probability on agar than in liquid — a direct reminder that the physical environment of the experiment shapes which mutants are ultimately recovered, independently of which mutants arose.</w:t>
      </w:r>
    </w:p>
    <w:p w14:paraId="21FCFFAE" w14:textId="77777777" w:rsidR="00BA7B27" w:rsidRDefault="00000000">
      <w:pPr>
        <w:spacing w:after="160" w:line="360" w:lineRule="auto"/>
        <w:ind w:firstLine="720"/>
        <w:jc w:val="both"/>
      </w:pPr>
      <w:r>
        <w:t xml:space="preserve">Alexander (2023) formalised methods for experimentally quantifying establishment probability in microbial systems, including experimental designs based on high-replicate plating of single cells and maximum likelihood estimation of establishment probability from the resulting colony counts. This methodological contribution opens the door to directly measuring establishment probability for individual </w:t>
      </w:r>
      <w:proofErr w:type="spellStart"/>
      <w:r>
        <w:t>rpoB</w:t>
      </w:r>
      <w:proofErr w:type="spellEnd"/>
      <w:r>
        <w:t xml:space="preserve"> alleles — the experiment that would definitively test whether the overrepresentation of certain alleles in fluctuation experiments reflects their higher establishment probability rather than (or in addition to) their higher mutation rate. Such experiments could involve isolating defined single-cell clones of bacteria carrying specific </w:t>
      </w:r>
      <w:proofErr w:type="spellStart"/>
      <w:r>
        <w:t>rpoB</w:t>
      </w:r>
      <w:proofErr w:type="spellEnd"/>
      <w:r>
        <w:t xml:space="preserve"> mutations (via gene editing or precise selection) and plating them at limiting dilution under defined antibiotic and nutrient conditions, then comparing the fraction that yields detectable colonies. If establishment probability tracks </w:t>
      </w:r>
      <w:r>
        <w:lastRenderedPageBreak/>
        <w:t>the observed allele frequency distribution from fluctuation experiments, and mutation rates for those alleles are comparable, the case for establishment frequency as the dominant driver becomes compelling.</w:t>
      </w:r>
    </w:p>
    <w:p w14:paraId="01E96F3C" w14:textId="77777777" w:rsidR="00BA7B27" w:rsidRDefault="00000000">
      <w:pPr>
        <w:spacing w:after="160" w:line="360" w:lineRule="auto"/>
        <w:ind w:firstLine="720"/>
        <w:jc w:val="both"/>
      </w:pPr>
      <w:r>
        <w:t xml:space="preserve">An additional dimension is stochastic phenotypic heterogeneity within clonal populations, which means that establishment probability can vary even among genetically identical cells. </w:t>
      </w:r>
      <w:proofErr w:type="spellStart"/>
      <w:r>
        <w:t>Bergmiller</w:t>
      </w:r>
      <w:proofErr w:type="spellEnd"/>
      <w:r>
        <w:t xml:space="preserve"> et al. (2017) showed that asymmetric partitioning of </w:t>
      </w:r>
      <w:proofErr w:type="spellStart"/>
      <w:r>
        <w:t>AcrAB-TolC</w:t>
      </w:r>
      <w:proofErr w:type="spellEnd"/>
      <w:r>
        <w:t xml:space="preserve"> efflux pumps during cell division generates persistent phenotypic variation in antibiotic resistance among clonal cells, with older cells inheriting more efflux machinery and surviving antibiotic challenge longer. El </w:t>
      </w:r>
      <w:proofErr w:type="spellStart"/>
      <w:r>
        <w:t>Meouche</w:t>
      </w:r>
      <w:proofErr w:type="spellEnd"/>
      <w:r>
        <w:t xml:space="preserve"> et al. (2016) demonstrated that stochastic expression of </w:t>
      </w:r>
      <w:proofErr w:type="spellStart"/>
      <w:r>
        <w:t>MarA</w:t>
      </w:r>
      <w:proofErr w:type="spellEnd"/>
      <w:r>
        <w:t xml:space="preserve"> — a multiple antibiotic resistance activator — generates transient resistance in individual cells at a rate that depends on the noisy dynamics of gene expression, meaning that the de facto resistance level of any given cell is a stochastic variable even without genetic mutation. If the phenotypic state of the cell in which a new </w:t>
      </w:r>
      <w:proofErr w:type="spellStart"/>
      <w:r>
        <w:t>rpoB</w:t>
      </w:r>
      <w:proofErr w:type="spellEnd"/>
      <w:r>
        <w:t xml:space="preserve"> mutation arises influences its initial survival probability, then establishment probability has a stochastic component that is independent of the genotype of the resistance mutation itself. This adds another layer of complexity to the mutation-versus-establishment question and suggests that even carefully controlled experiments with defined resistance alleles may show substantial run-to-run variability in establishment probability.</w:t>
      </w:r>
    </w:p>
    <w:p w14:paraId="735D0D09" w14:textId="77777777" w:rsidR="00BA7B27" w:rsidRDefault="00BA7B27">
      <w:pPr>
        <w:spacing w:before="80" w:after="80"/>
      </w:pPr>
    </w:p>
    <w:p w14:paraId="53CA13F9" w14:textId="77777777" w:rsidR="00BA7B27" w:rsidRDefault="00000000">
      <w:pPr>
        <w:pStyle w:val="Heading1"/>
      </w:pPr>
      <w:r>
        <w:t>6. Stochastic Establishment and Stochastic Mortality</w:t>
      </w:r>
    </w:p>
    <w:p w14:paraId="0A6D120D" w14:textId="77777777" w:rsidR="00BA7B27" w:rsidRDefault="00000000">
      <w:pPr>
        <w:spacing w:after="160" w:line="360" w:lineRule="auto"/>
        <w:ind w:firstLine="720"/>
        <w:jc w:val="both"/>
      </w:pPr>
      <w:r>
        <w:t xml:space="preserve">Stochastic establishment and stochastic mortality are two sides of the same coin in the population dynamics of newly arisen mutants. A single mutant cell, upon arising in a large culture, faces an immediate branching process: it either divides before it dies (beginning a lineage) or dies before it divides (ending one). If it divides, each daughter cell faces the same choice. The probability that the lineage ultimately survives to detectable size depends on the ratio of birth to death rates at the single-cell level and on the number of cells in the lineage when it first becomes detectable — neither of which is </w:t>
      </w:r>
      <w:r>
        <w:lastRenderedPageBreak/>
        <w:t>determined solely by the allele the cell carries, but also by the physical and chemical environment the cell inhabits in those first critical divisions.</w:t>
      </w:r>
    </w:p>
    <w:p w14:paraId="155A20FE" w14:textId="77777777" w:rsidR="00BA7B27" w:rsidRDefault="00000000">
      <w:pPr>
        <w:spacing w:after="160" w:line="360" w:lineRule="auto"/>
        <w:ind w:firstLine="720"/>
        <w:jc w:val="both"/>
      </w:pPr>
      <w:r>
        <w:t xml:space="preserve">Patwa and Wahl (2008) trace the development of fixation probability theory from early branching process models through to modern frameworks that relax the key assumptions of constant population size and time-invariant selection. They show that the classical Kimura fixation probability 2s, while a useful approximation for large constant-size populations, underestimates the probability of loss in populations undergoing fluctuations in size or selection coefficient. Danino and </w:t>
      </w:r>
      <w:proofErr w:type="spellStart"/>
      <w:r>
        <w:t>Shnerb</w:t>
      </w:r>
      <w:proofErr w:type="spellEnd"/>
      <w:r>
        <w:t xml:space="preserve"> (2018) extended this framework to environments where the selective coefficient of the mutant fluctuates over time, showing that temporal environmental stochasticity can substantially alter fixation probability relative to predictions based on time-averaged fitness — an important consideration for interpreting fluctuation experiments conducted in environments that vary in nutrient or antibiotic concentration over the course of the experiment.</w:t>
      </w:r>
    </w:p>
    <w:p w14:paraId="3DB06074" w14:textId="77777777" w:rsidR="00BA7B27" w:rsidRDefault="00000000">
      <w:pPr>
        <w:spacing w:after="160" w:line="360" w:lineRule="auto"/>
        <w:ind w:firstLine="720"/>
        <w:jc w:val="both"/>
      </w:pPr>
      <w:r>
        <w:t xml:space="preserve">The empirical literature on stochastic establishment in antibiotic resistance systems confirms that establishment probability is not just theoretically interesting but quantitatively important. Alexander and MacLean (2020) showed that even at antibiotic concentrations one-eighth of the resistant strain's MIC, the establishment probability of single resistant cells was below 5% — meaning that more than 95% of founding events are lost by chance. This implies that the overwhelming majority of resistance mutations that arise in a culture are never recovered, not because they failed to arise, but because they failed to establish. If different </w:t>
      </w:r>
      <w:proofErr w:type="spellStart"/>
      <w:r>
        <w:t>rpoB</w:t>
      </w:r>
      <w:proofErr w:type="spellEnd"/>
      <w:r>
        <w:t xml:space="preserve"> alleles have different establishment probabilities — even modest differences of a few percent — the cumulative effect across thousands of founding events in a culture would produce large differences in the frequencies of alleles in the recovered pool.</w:t>
      </w:r>
    </w:p>
    <w:p w14:paraId="3271141D" w14:textId="77777777" w:rsidR="00BA7B27" w:rsidRDefault="00000000">
      <w:pPr>
        <w:spacing w:after="160" w:line="360" w:lineRule="auto"/>
        <w:ind w:firstLine="720"/>
        <w:jc w:val="both"/>
      </w:pPr>
      <w:proofErr w:type="spellStart"/>
      <w:r>
        <w:t>Saebelfeld</w:t>
      </w:r>
      <w:proofErr w:type="spellEnd"/>
      <w:r>
        <w:t xml:space="preserve"> et al. (2022) contributed directly to quantifying how environmental structure modifies this picture. They showed that the same genotypes had different establishment probabilities in liquid versus structured agar environments, with greater variability on agar — consistent with the spatial jackpot amplification documented by Fusco et al. (2016). This is particularly relevant for experiments that involve plating cultures onto selective agar after liquid fluctuation growth: the establishment step on agar </w:t>
      </w:r>
      <w:r>
        <w:lastRenderedPageBreak/>
        <w:t>adds a second stochastic filter after the initial mutation event in liquid culture, and this second filter has its own genotype- and environment-specific probabilities. A mutation that arises in liquid but fails to form a colony on agar will never be recovered, regardless of its intrinsic properties.</w:t>
      </w:r>
    </w:p>
    <w:p w14:paraId="371D6B6F" w14:textId="77777777" w:rsidR="00BA7B27" w:rsidRDefault="00000000">
      <w:pPr>
        <w:spacing w:after="160" w:line="360" w:lineRule="auto"/>
        <w:ind w:firstLine="720"/>
        <w:jc w:val="both"/>
      </w:pPr>
      <w:r>
        <w:t xml:space="preserve">The biological heterogeneity within populations adds a final complicating layer. </w:t>
      </w:r>
      <w:proofErr w:type="spellStart"/>
      <w:r>
        <w:t>Maudsdotter</w:t>
      </w:r>
      <w:proofErr w:type="spellEnd"/>
      <w:r>
        <w:t xml:space="preserve"> et al. (2019) found that rifampicin-resistant S. aureus isolates in biofilms accumulate as local events driven by a few high-fitness founders rather than as a uniform population-wide process, consistent with stochastic establishment from individual founding cells rather than a gradual population-level enrichment. </w:t>
      </w:r>
      <w:proofErr w:type="spellStart"/>
      <w:r>
        <w:t>Bergmiller</w:t>
      </w:r>
      <w:proofErr w:type="spellEnd"/>
      <w:r>
        <w:t xml:space="preserve"> et al. (2017) and El </w:t>
      </w:r>
      <w:proofErr w:type="spellStart"/>
      <w:r>
        <w:t>Meouche</w:t>
      </w:r>
      <w:proofErr w:type="spellEnd"/>
      <w:r>
        <w:t xml:space="preserve"> et al. (2016) showed that even genetically identical cells differ substantially in their instantaneous resistance levels due to asymmetric inheritance of efflux pumps and noisy gene expression, respectively. These sources of single-cell heterogeneity mean that the identity of the cell in which a resistance mutation arises — its current level of pump expression, its position in the cell cycle, its metabolic state — influences the survival probability of the nascent mutant lineage. This cell-state stochasticity is invisible to approaches that measure only the genotype of the resistance mutation and may contribute substantially to run-to-run variability in which alleles are recovered.</w:t>
      </w:r>
    </w:p>
    <w:p w14:paraId="7EAF656D" w14:textId="77777777" w:rsidR="00BA7B27" w:rsidRDefault="00BA7B27">
      <w:pPr>
        <w:spacing w:before="80" w:after="80"/>
      </w:pPr>
    </w:p>
    <w:p w14:paraId="29D2FA37" w14:textId="77777777" w:rsidR="00BA7B27" w:rsidRDefault="00000000">
      <w:pPr>
        <w:pStyle w:val="Heading1"/>
      </w:pPr>
      <w:r>
        <w:t>7. Conclusions</w:t>
      </w:r>
    </w:p>
    <w:p w14:paraId="1DD5CDF3" w14:textId="77777777" w:rsidR="00BA7B27" w:rsidRDefault="00000000">
      <w:pPr>
        <w:spacing w:after="160" w:line="360" w:lineRule="auto"/>
        <w:ind w:firstLine="720"/>
        <w:jc w:val="both"/>
      </w:pPr>
      <w:r>
        <w:t xml:space="preserve">The central question of this project — what determines what we observe when we conduct multiple Luria–Delbrück experiments and find some </w:t>
      </w:r>
      <w:proofErr w:type="spellStart"/>
      <w:r>
        <w:t>rpoB</w:t>
      </w:r>
      <w:proofErr w:type="spellEnd"/>
      <w:r>
        <w:t xml:space="preserve"> mutations more than others — does not yet have a definitive empirical answer, but the literature reviewed here lays out a clear framework for addressing it. Mutation frequency and establishment frequency are both plausible and mechanistically grounded contributors to the observed non-uniform distribution of recovered alleles. Mutation frequency is modulated by local sequence context, error-prone polymerase activity, and the growth environment in ways that can concentrate mutational supply to specific </w:t>
      </w:r>
      <w:proofErr w:type="spellStart"/>
      <w:r>
        <w:t>rpoB</w:t>
      </w:r>
      <w:proofErr w:type="spellEnd"/>
      <w:r>
        <w:t xml:space="preserve"> codons (Horton &amp; Taylor, 2023; Gifford et al., 2024; Wolff et al., 2004). Establishment frequency is modulated by the </w:t>
      </w:r>
      <w:r>
        <w:lastRenderedPageBreak/>
        <w:t xml:space="preserve">fitness cost of each allele, the antibiotic concentration, the physical structure of the environment, and stochastic cell-level heterogeneity in a way that makes the survival of any single founding cell probabilistic and allele-dependent (Alexander &amp; MacLean, 2020; </w:t>
      </w:r>
      <w:proofErr w:type="spellStart"/>
      <w:r>
        <w:t>Saebelfeld</w:t>
      </w:r>
      <w:proofErr w:type="spellEnd"/>
      <w:r>
        <w:t xml:space="preserve"> et al., 2022; Patwa &amp; Wahl, 2008).</w:t>
      </w:r>
    </w:p>
    <w:p w14:paraId="2E4A9F12" w14:textId="77777777" w:rsidR="00BA7B27" w:rsidRDefault="00000000">
      <w:pPr>
        <w:spacing w:after="160" w:line="360" w:lineRule="auto"/>
        <w:ind w:firstLine="720"/>
        <w:jc w:val="both"/>
      </w:pPr>
      <w:r>
        <w:t>The Luria–Delbrück framework itself adds a third source of variance — jackpot statistics — that inflates observed allele frequency differences beyond what either mutation rate or establishment probability differences alone would predict. Any analysis of fluctuation experiment data that does not account for the full Luria–Delbrück distribution risks mistaking sampling noise for mechanistic signal (Lenski et al., 1989; Fusco et al., 2016). Rigorous statistical approaches, including maximum likelihood estimation of mutation rates from the full colony count distribution and direct experimental measurement of establishment probabilities for defined alleles, are necessary to partition the contributions of mutation frequency and establishment frequency to the observed outcome.</w:t>
      </w:r>
    </w:p>
    <w:p w14:paraId="7FC54D6D" w14:textId="77777777" w:rsidR="00BA7B27" w:rsidRDefault="00000000">
      <w:pPr>
        <w:spacing w:after="160" w:line="360" w:lineRule="auto"/>
        <w:ind w:firstLine="720"/>
        <w:jc w:val="both"/>
      </w:pPr>
      <w:r>
        <w:t xml:space="preserve">The most powerful future experiments will directly measure both quantities for the same </w:t>
      </w:r>
      <w:proofErr w:type="spellStart"/>
      <w:r>
        <w:t>rpoB</w:t>
      </w:r>
      <w:proofErr w:type="spellEnd"/>
      <w:r>
        <w:t xml:space="preserve"> alleles under the same conditions used in the fluctuation experiments: using fluctuation tests with allele-specific sequencing to determine mutation frequency at each </w:t>
      </w:r>
      <w:proofErr w:type="spellStart"/>
      <w:r>
        <w:t>rpoB</w:t>
      </w:r>
      <w:proofErr w:type="spellEnd"/>
      <w:r>
        <w:t xml:space="preserve"> position, and using single-cell plating assays of defined allele-carrying strains to determine their establishment probability. If the ratio of observed allele frequencies in fluctuation experiments matches the ratio of mutation frequencies, mutation supply is the dominant driver. If it instead matches the ratio of establishment probabilities, stochastic establishment is the dominant driver. If neither matches alone but a product of the two does, both contributions are necessary. This experimental programme, now technically feasible thanks to deep sequencing and the quantitative methods developed by Alexander (2023), would resolve a foundational ambiguity in the interpretation of bacterial evolution experiments with broad implications for understanding the emergence of antibiotic resistance.</w:t>
      </w:r>
    </w:p>
    <w:p w14:paraId="4F385146" w14:textId="77777777" w:rsidR="00BA7B27" w:rsidRDefault="00BA7B27">
      <w:pPr>
        <w:spacing w:before="80" w:after="80"/>
      </w:pPr>
    </w:p>
    <w:p w14:paraId="3E92BBE1" w14:textId="77777777" w:rsidR="00BA7B27" w:rsidRDefault="00BA7B27">
      <w:pPr>
        <w:spacing w:before="80" w:after="80"/>
      </w:pPr>
    </w:p>
    <w:p w14:paraId="1E3E6B3A" w14:textId="77777777" w:rsidR="00BA7B27" w:rsidRDefault="00000000">
      <w:pPr>
        <w:pStyle w:val="Heading1"/>
      </w:pPr>
      <w:r>
        <w:lastRenderedPageBreak/>
        <w:t>References</w:t>
      </w:r>
    </w:p>
    <w:p w14:paraId="5BA4444B" w14:textId="77777777" w:rsidR="00BA7B27" w:rsidRDefault="00000000">
      <w:pPr>
        <w:spacing w:before="60" w:after="60" w:line="300" w:lineRule="auto"/>
        <w:ind w:left="720" w:hanging="720"/>
      </w:pPr>
      <w:r>
        <w:rPr>
          <w:sz w:val="22"/>
          <w:szCs w:val="22"/>
        </w:rPr>
        <w:t>Alexander, H.K. (2023). Quantifying stochastic establishment of mutants in microbial adaptation. PLOS Biology.</w:t>
      </w:r>
    </w:p>
    <w:p w14:paraId="47DCE23D" w14:textId="77777777" w:rsidR="00BA7B27" w:rsidRDefault="00000000">
      <w:pPr>
        <w:spacing w:before="60" w:after="60" w:line="300" w:lineRule="auto"/>
        <w:ind w:left="720" w:hanging="720"/>
      </w:pPr>
      <w:r>
        <w:rPr>
          <w:sz w:val="22"/>
          <w:szCs w:val="22"/>
        </w:rPr>
        <w:t>Alexander, H.K. &amp; MacLean, R.C. (2020). Stochastic bacterial population dynamics restrict the establishment of antibiotic resistance from single cells. Proceedings of the National Academy of Sciences, 117(32), 19455–19464.</w:t>
      </w:r>
    </w:p>
    <w:p w14:paraId="7FE014B3" w14:textId="77777777" w:rsidR="00BA7B27" w:rsidRDefault="00000000">
      <w:pPr>
        <w:spacing w:before="60" w:after="60" w:line="300" w:lineRule="auto"/>
        <w:ind w:left="720" w:hanging="720"/>
      </w:pPr>
      <w:proofErr w:type="spellStart"/>
      <w:r>
        <w:rPr>
          <w:sz w:val="22"/>
          <w:szCs w:val="22"/>
        </w:rPr>
        <w:t>Bergmiller</w:t>
      </w:r>
      <w:proofErr w:type="spellEnd"/>
      <w:r>
        <w:rPr>
          <w:sz w:val="22"/>
          <w:szCs w:val="22"/>
        </w:rPr>
        <w:t xml:space="preserve">, T., Andersson, A.M.C., Tomasek, K. et al. (2017). Biased partitioning of the multidrug efflux pump </w:t>
      </w:r>
      <w:proofErr w:type="spellStart"/>
      <w:r>
        <w:rPr>
          <w:sz w:val="22"/>
          <w:szCs w:val="22"/>
        </w:rPr>
        <w:t>AcrAB-TolC</w:t>
      </w:r>
      <w:proofErr w:type="spellEnd"/>
      <w:r>
        <w:rPr>
          <w:sz w:val="22"/>
          <w:szCs w:val="22"/>
        </w:rPr>
        <w:t xml:space="preserve"> underlies long-lived phenotypic heterogeneity. Science, 356(6335), 311–315.</w:t>
      </w:r>
    </w:p>
    <w:p w14:paraId="52870F5D" w14:textId="77777777" w:rsidR="00BA7B27" w:rsidRDefault="00000000">
      <w:pPr>
        <w:spacing w:before="60" w:after="60" w:line="300" w:lineRule="auto"/>
        <w:ind w:left="720" w:hanging="720"/>
      </w:pPr>
      <w:r>
        <w:rPr>
          <w:sz w:val="22"/>
          <w:szCs w:val="22"/>
        </w:rPr>
        <w:t xml:space="preserve">Billington, O.J., McHugh, T.D. &amp; Gillespie, S.H. (1999). Physiological cost of </w:t>
      </w:r>
      <w:proofErr w:type="spellStart"/>
      <w:r>
        <w:rPr>
          <w:sz w:val="22"/>
          <w:szCs w:val="22"/>
        </w:rPr>
        <w:t>rifampin</w:t>
      </w:r>
      <w:proofErr w:type="spellEnd"/>
      <w:r>
        <w:rPr>
          <w:sz w:val="22"/>
          <w:szCs w:val="22"/>
        </w:rPr>
        <w:t xml:space="preserve"> resistance induced in vitro in Mycobacterium tuberculosis. Antimicrobial Agents and Chemotherapy, 43(8), 1866–1869.</w:t>
      </w:r>
    </w:p>
    <w:p w14:paraId="226531D6" w14:textId="77777777" w:rsidR="00BA7B27" w:rsidRDefault="00000000">
      <w:pPr>
        <w:spacing w:before="60" w:after="60" w:line="300" w:lineRule="auto"/>
        <w:ind w:left="720" w:hanging="720"/>
      </w:pPr>
      <w:r>
        <w:rPr>
          <w:sz w:val="22"/>
          <w:szCs w:val="22"/>
        </w:rPr>
        <w:t>Boyd, B.M., James, I., Johnson, K.P. &amp; Weiss, R.B. (2024). Stochasticity, determinism, and contingency shape genome evolution of endosymbiotic bacteria. PLOS Genetics.</w:t>
      </w:r>
    </w:p>
    <w:p w14:paraId="1F35AA6C" w14:textId="77777777" w:rsidR="00BA7B27" w:rsidRDefault="00000000">
      <w:pPr>
        <w:spacing w:before="60" w:after="60" w:line="300" w:lineRule="auto"/>
        <w:ind w:left="720" w:hanging="720"/>
      </w:pPr>
      <w:r>
        <w:rPr>
          <w:sz w:val="22"/>
          <w:szCs w:val="22"/>
        </w:rPr>
        <w:t xml:space="preserve">Cummings, M.P. &amp; Segal, M.R. (2004). Few amino acid positions in </w:t>
      </w:r>
      <w:proofErr w:type="spellStart"/>
      <w:r>
        <w:rPr>
          <w:sz w:val="22"/>
          <w:szCs w:val="22"/>
        </w:rPr>
        <w:t>rpoB</w:t>
      </w:r>
      <w:proofErr w:type="spellEnd"/>
      <w:r>
        <w:rPr>
          <w:sz w:val="22"/>
          <w:szCs w:val="22"/>
        </w:rPr>
        <w:t xml:space="preserve"> are associated with most of the </w:t>
      </w:r>
      <w:proofErr w:type="spellStart"/>
      <w:r>
        <w:rPr>
          <w:sz w:val="22"/>
          <w:szCs w:val="22"/>
        </w:rPr>
        <w:t>rifampin</w:t>
      </w:r>
      <w:proofErr w:type="spellEnd"/>
      <w:r>
        <w:rPr>
          <w:sz w:val="22"/>
          <w:szCs w:val="22"/>
        </w:rPr>
        <w:t xml:space="preserve"> resistance in Mycobacterium tuberculosis. BMC Bioinformatics, 5, 137.</w:t>
      </w:r>
    </w:p>
    <w:p w14:paraId="68D7B63E" w14:textId="77777777" w:rsidR="00BA7B27" w:rsidRDefault="00000000">
      <w:pPr>
        <w:spacing w:before="60" w:after="60" w:line="300" w:lineRule="auto"/>
        <w:ind w:left="720" w:hanging="720"/>
      </w:pPr>
      <w:r>
        <w:rPr>
          <w:sz w:val="22"/>
          <w:szCs w:val="22"/>
        </w:rPr>
        <w:t xml:space="preserve">Danino, M. &amp; </w:t>
      </w:r>
      <w:proofErr w:type="spellStart"/>
      <w:r>
        <w:rPr>
          <w:sz w:val="22"/>
          <w:szCs w:val="22"/>
        </w:rPr>
        <w:t>Shnerb</w:t>
      </w:r>
      <w:proofErr w:type="spellEnd"/>
      <w:r>
        <w:rPr>
          <w:sz w:val="22"/>
          <w:szCs w:val="22"/>
        </w:rPr>
        <w:t>, N.M. (2018). Fixation and absorption in a fluctuating environment. Journal of Theoretical Biology, 441, 84–92.</w:t>
      </w:r>
    </w:p>
    <w:p w14:paraId="36774D87" w14:textId="77777777" w:rsidR="00BA7B27" w:rsidRDefault="00000000">
      <w:pPr>
        <w:spacing w:before="60" w:after="60" w:line="300" w:lineRule="auto"/>
        <w:ind w:left="720" w:hanging="720"/>
      </w:pPr>
      <w:r>
        <w:rPr>
          <w:sz w:val="22"/>
          <w:szCs w:val="22"/>
        </w:rPr>
        <w:t xml:space="preserve">El </w:t>
      </w:r>
      <w:proofErr w:type="spellStart"/>
      <w:r>
        <w:rPr>
          <w:sz w:val="22"/>
          <w:szCs w:val="22"/>
        </w:rPr>
        <w:t>Meouche</w:t>
      </w:r>
      <w:proofErr w:type="spellEnd"/>
      <w:r>
        <w:rPr>
          <w:sz w:val="22"/>
          <w:szCs w:val="22"/>
        </w:rPr>
        <w:t>, I., Siu, Y. &amp; Dunlop, M.J. (2016). Stochastic expression of a multiple antibiotic resistance activator confers transient resistance in single cells. Scientific Reports, 6, 19538.</w:t>
      </w:r>
    </w:p>
    <w:p w14:paraId="19E60831" w14:textId="77777777" w:rsidR="00BA7B27" w:rsidRDefault="00000000">
      <w:pPr>
        <w:spacing w:before="60" w:after="60" w:line="300" w:lineRule="auto"/>
        <w:ind w:left="720" w:hanging="720"/>
      </w:pPr>
      <w:r>
        <w:rPr>
          <w:sz w:val="22"/>
          <w:szCs w:val="22"/>
        </w:rPr>
        <w:t xml:space="preserve">Fusco, D., </w:t>
      </w:r>
      <w:proofErr w:type="spellStart"/>
      <w:r>
        <w:rPr>
          <w:sz w:val="22"/>
          <w:szCs w:val="22"/>
        </w:rPr>
        <w:t>Gralka</w:t>
      </w:r>
      <w:proofErr w:type="spellEnd"/>
      <w:r>
        <w:rPr>
          <w:sz w:val="22"/>
          <w:szCs w:val="22"/>
        </w:rPr>
        <w:t>, M., Kayser, J. et al. (2016). Excess of mutational jackpot events in expanding populations revealed by spatial Luria–Delbrück experiments. Nature Communications, 7, 12760.</w:t>
      </w:r>
    </w:p>
    <w:p w14:paraId="28D4F29B" w14:textId="77777777" w:rsidR="00BA7B27" w:rsidRDefault="00000000">
      <w:pPr>
        <w:spacing w:before="60" w:after="60" w:line="300" w:lineRule="auto"/>
        <w:ind w:left="720" w:hanging="720"/>
      </w:pPr>
      <w:r>
        <w:rPr>
          <w:sz w:val="22"/>
          <w:szCs w:val="22"/>
        </w:rPr>
        <w:t xml:space="preserve">Gifford, D.R., Bhattacharyya, A., Geim, A. et al. (2024). Environmental and genetic influence on the rate and spectrum of spontaneous mutations in Escherichia coli. </w:t>
      </w:r>
      <w:proofErr w:type="spellStart"/>
      <w:r>
        <w:rPr>
          <w:sz w:val="22"/>
          <w:szCs w:val="22"/>
        </w:rPr>
        <w:t>eLife</w:t>
      </w:r>
      <w:proofErr w:type="spellEnd"/>
      <w:r>
        <w:rPr>
          <w:sz w:val="22"/>
          <w:szCs w:val="22"/>
        </w:rPr>
        <w:t>.</w:t>
      </w:r>
    </w:p>
    <w:p w14:paraId="0C6BDDA2" w14:textId="77777777" w:rsidR="00BA7B27" w:rsidRDefault="00000000">
      <w:pPr>
        <w:spacing w:before="60" w:after="60" w:line="300" w:lineRule="auto"/>
        <w:ind w:left="720" w:hanging="720"/>
      </w:pPr>
      <w:r>
        <w:rPr>
          <w:sz w:val="22"/>
          <w:szCs w:val="22"/>
        </w:rPr>
        <w:t>Horton, J.S. &amp; Taylor, T.B. (2023). Mutation bias and adaptation in bacteria. Nature Reviews Microbiology.</w:t>
      </w:r>
    </w:p>
    <w:p w14:paraId="2122419B" w14:textId="77777777" w:rsidR="00BA7B27" w:rsidRDefault="00000000">
      <w:pPr>
        <w:spacing w:before="60" w:after="60" w:line="300" w:lineRule="auto"/>
        <w:ind w:left="720" w:hanging="720"/>
      </w:pPr>
      <w:proofErr w:type="spellStart"/>
      <w:r>
        <w:rPr>
          <w:sz w:val="22"/>
          <w:szCs w:val="22"/>
        </w:rPr>
        <w:t>Huitric</w:t>
      </w:r>
      <w:proofErr w:type="spellEnd"/>
      <w:r>
        <w:rPr>
          <w:sz w:val="22"/>
          <w:szCs w:val="22"/>
        </w:rPr>
        <w:t xml:space="preserve">, E., Werngren, J., </w:t>
      </w:r>
      <w:proofErr w:type="spellStart"/>
      <w:r>
        <w:rPr>
          <w:sz w:val="22"/>
          <w:szCs w:val="22"/>
        </w:rPr>
        <w:t>Jureen</w:t>
      </w:r>
      <w:proofErr w:type="spellEnd"/>
      <w:r>
        <w:rPr>
          <w:sz w:val="22"/>
          <w:szCs w:val="22"/>
        </w:rPr>
        <w:t xml:space="preserve">, P. &amp; Hoffner, S. (2006). Resistance levels and </w:t>
      </w:r>
      <w:proofErr w:type="spellStart"/>
      <w:r>
        <w:rPr>
          <w:sz w:val="22"/>
          <w:szCs w:val="22"/>
        </w:rPr>
        <w:t>rpoB</w:t>
      </w:r>
      <w:proofErr w:type="spellEnd"/>
      <w:r>
        <w:rPr>
          <w:sz w:val="22"/>
          <w:szCs w:val="22"/>
        </w:rPr>
        <w:t xml:space="preserve"> gene mutations among in vitro-selected </w:t>
      </w:r>
      <w:proofErr w:type="spellStart"/>
      <w:r>
        <w:rPr>
          <w:sz w:val="22"/>
          <w:szCs w:val="22"/>
        </w:rPr>
        <w:t>rifampin</w:t>
      </w:r>
      <w:proofErr w:type="spellEnd"/>
      <w:r>
        <w:rPr>
          <w:sz w:val="22"/>
          <w:szCs w:val="22"/>
        </w:rPr>
        <w:t>-resistant Mycobacterium tuberculosis mutants. Antimicrobial Agents and Chemotherapy, 50(8), 2860–2862.</w:t>
      </w:r>
    </w:p>
    <w:p w14:paraId="3A3BA22A" w14:textId="77777777" w:rsidR="00BA7B27" w:rsidRDefault="00000000">
      <w:pPr>
        <w:spacing w:before="60" w:after="60" w:line="300" w:lineRule="auto"/>
        <w:ind w:left="720" w:hanging="720"/>
      </w:pPr>
      <w:r>
        <w:rPr>
          <w:sz w:val="22"/>
          <w:szCs w:val="22"/>
        </w:rPr>
        <w:t xml:space="preserve">Jin, D.J. &amp; Gross, C.A. (1989). Characterization of the pleiotropic phenotypes of </w:t>
      </w:r>
      <w:proofErr w:type="spellStart"/>
      <w:r>
        <w:rPr>
          <w:sz w:val="22"/>
          <w:szCs w:val="22"/>
        </w:rPr>
        <w:t>rifampin</w:t>
      </w:r>
      <w:proofErr w:type="spellEnd"/>
      <w:r>
        <w:rPr>
          <w:sz w:val="22"/>
          <w:szCs w:val="22"/>
        </w:rPr>
        <w:t xml:space="preserve">-resistant </w:t>
      </w:r>
      <w:proofErr w:type="spellStart"/>
      <w:r>
        <w:rPr>
          <w:sz w:val="22"/>
          <w:szCs w:val="22"/>
        </w:rPr>
        <w:t>rpoB</w:t>
      </w:r>
      <w:proofErr w:type="spellEnd"/>
      <w:r>
        <w:rPr>
          <w:sz w:val="22"/>
          <w:szCs w:val="22"/>
        </w:rPr>
        <w:t xml:space="preserve"> mutants of Escherichia coli. Journal of Bacteriology, 171(9), 5229–5237.</w:t>
      </w:r>
    </w:p>
    <w:p w14:paraId="1CC8EA58" w14:textId="77777777" w:rsidR="00BA7B27" w:rsidRDefault="00000000">
      <w:pPr>
        <w:spacing w:before="60" w:after="60" w:line="300" w:lineRule="auto"/>
        <w:ind w:left="720" w:hanging="720"/>
      </w:pPr>
      <w:r>
        <w:rPr>
          <w:sz w:val="22"/>
          <w:szCs w:val="22"/>
        </w:rPr>
        <w:t xml:space="preserve">Krašovec, R., </w:t>
      </w:r>
      <w:proofErr w:type="spellStart"/>
      <w:r>
        <w:rPr>
          <w:sz w:val="22"/>
          <w:szCs w:val="22"/>
        </w:rPr>
        <w:t>Belavkin</w:t>
      </w:r>
      <w:proofErr w:type="spellEnd"/>
      <w:r>
        <w:rPr>
          <w:sz w:val="22"/>
          <w:szCs w:val="22"/>
        </w:rPr>
        <w:t>, R.V., Aston, J.A.D. et al. (2014). Mutation rate plasticity in rifampicin resistance depends on Escherichia coli cell–cell interactions. Nature Communications.</w:t>
      </w:r>
    </w:p>
    <w:p w14:paraId="62D2F793" w14:textId="77777777" w:rsidR="00BA7B27" w:rsidRDefault="00000000">
      <w:pPr>
        <w:spacing w:before="60" w:after="60" w:line="300" w:lineRule="auto"/>
        <w:ind w:left="720" w:hanging="720"/>
      </w:pPr>
      <w:r>
        <w:rPr>
          <w:sz w:val="22"/>
          <w:szCs w:val="22"/>
        </w:rPr>
        <w:lastRenderedPageBreak/>
        <w:t xml:space="preserve">Leehan, J.D., Nicholson, W.L. &amp; Kivisaar, M. (2021). The spectrum of spontaneous </w:t>
      </w:r>
      <w:proofErr w:type="spellStart"/>
      <w:r>
        <w:rPr>
          <w:sz w:val="22"/>
          <w:szCs w:val="22"/>
        </w:rPr>
        <w:t>rifampin</w:t>
      </w:r>
      <w:proofErr w:type="spellEnd"/>
      <w:r>
        <w:rPr>
          <w:sz w:val="22"/>
          <w:szCs w:val="22"/>
        </w:rPr>
        <w:t xml:space="preserve"> resistance mutations in the Bacillus subtilis </w:t>
      </w:r>
      <w:proofErr w:type="spellStart"/>
      <w:r>
        <w:rPr>
          <w:sz w:val="22"/>
          <w:szCs w:val="22"/>
        </w:rPr>
        <w:t>rpoB</w:t>
      </w:r>
      <w:proofErr w:type="spellEnd"/>
      <w:r>
        <w:rPr>
          <w:sz w:val="22"/>
          <w:szCs w:val="22"/>
        </w:rPr>
        <w:t xml:space="preserve"> gene depends on the growth environment. Microbiology Spectrum.</w:t>
      </w:r>
    </w:p>
    <w:p w14:paraId="5270B8CA" w14:textId="77777777" w:rsidR="00BA7B27" w:rsidRDefault="00000000">
      <w:pPr>
        <w:spacing w:before="60" w:after="60" w:line="300" w:lineRule="auto"/>
        <w:ind w:left="720" w:hanging="720"/>
      </w:pPr>
      <w:r>
        <w:rPr>
          <w:sz w:val="22"/>
          <w:szCs w:val="22"/>
        </w:rPr>
        <w:t>Lenormand, T., Roze, D. &amp; Rousset, F. (2009). Stochasticity in evolution. Trends in Ecology &amp; Evolution, 24(3), 157–165.</w:t>
      </w:r>
    </w:p>
    <w:p w14:paraId="496DF6EC" w14:textId="77777777" w:rsidR="00BA7B27" w:rsidRDefault="00000000">
      <w:pPr>
        <w:spacing w:before="60" w:after="60" w:line="300" w:lineRule="auto"/>
        <w:ind w:left="720" w:hanging="720"/>
      </w:pPr>
      <w:r>
        <w:rPr>
          <w:sz w:val="22"/>
          <w:szCs w:val="22"/>
        </w:rPr>
        <w:t>Lenski, R.E., Slatkin, M. &amp; Ayala, F.J. (1989). Mutation and selection in bacterial populations: alternatives to the hypothesis of directed mutation. Proceedings of the National Academy of Sciences, 86(8), 2775–2778.</w:t>
      </w:r>
    </w:p>
    <w:p w14:paraId="1AA697E6" w14:textId="77777777" w:rsidR="00BA7B27" w:rsidRDefault="00000000">
      <w:pPr>
        <w:spacing w:before="60" w:after="60" w:line="300" w:lineRule="auto"/>
        <w:ind w:left="720" w:hanging="720"/>
      </w:pPr>
      <w:r>
        <w:rPr>
          <w:sz w:val="22"/>
          <w:szCs w:val="22"/>
        </w:rPr>
        <w:t>Luria, S.E. &amp; Delbrück, M. (1943). Mutations of bacteria from virus sensitivity to virus resistance. Genetics, 28(6), 491–511.</w:t>
      </w:r>
    </w:p>
    <w:p w14:paraId="041E1612" w14:textId="77777777" w:rsidR="00BA7B27" w:rsidRDefault="00000000">
      <w:pPr>
        <w:spacing w:before="60" w:after="60" w:line="300" w:lineRule="auto"/>
        <w:ind w:left="720" w:hanging="720"/>
      </w:pPr>
      <w:r>
        <w:rPr>
          <w:sz w:val="22"/>
          <w:szCs w:val="22"/>
        </w:rPr>
        <w:t>Martinez, J.L. &amp; Baquero, F. (2000). Mutation frequencies and antibiotic resistance. Antimicrobial Agents and Chemotherapy, 44(7), 1771–1777.</w:t>
      </w:r>
    </w:p>
    <w:p w14:paraId="114156E8" w14:textId="77777777" w:rsidR="00BA7B27" w:rsidRDefault="00000000">
      <w:pPr>
        <w:spacing w:before="60" w:after="60" w:line="300" w:lineRule="auto"/>
        <w:ind w:left="720" w:hanging="720"/>
      </w:pPr>
      <w:proofErr w:type="spellStart"/>
      <w:r>
        <w:rPr>
          <w:sz w:val="22"/>
          <w:szCs w:val="22"/>
        </w:rPr>
        <w:t>Maudsdotter</w:t>
      </w:r>
      <w:proofErr w:type="spellEnd"/>
      <w:r>
        <w:rPr>
          <w:sz w:val="22"/>
          <w:szCs w:val="22"/>
        </w:rPr>
        <w:t>, L., Ushijima, Y. &amp; Morikawa, K. (2019). Fitness of spontaneous rifampicin-resistant Staphylococcus aureus isolates in a biofilm environment. Frontiers in Microbiology.</w:t>
      </w:r>
    </w:p>
    <w:p w14:paraId="12AFB5C3" w14:textId="77777777" w:rsidR="00BA7B27" w:rsidRDefault="00000000">
      <w:pPr>
        <w:spacing w:before="60" w:after="60" w:line="300" w:lineRule="auto"/>
        <w:ind w:left="720" w:hanging="720"/>
      </w:pPr>
      <w:r>
        <w:rPr>
          <w:sz w:val="22"/>
          <w:szCs w:val="22"/>
        </w:rPr>
        <w:t>Patwa, Z. &amp; Wahl, L.M. (2008). The fixation probability of beneficial mutations. Journal of the Royal Society Interface, 5(28), 1279–1289.</w:t>
      </w:r>
    </w:p>
    <w:p w14:paraId="79DCA525" w14:textId="77777777" w:rsidR="00BA7B27" w:rsidRDefault="00000000">
      <w:pPr>
        <w:spacing w:before="60" w:after="60" w:line="300" w:lineRule="auto"/>
        <w:ind w:left="720" w:hanging="720"/>
      </w:pPr>
      <w:r>
        <w:rPr>
          <w:sz w:val="22"/>
          <w:szCs w:val="22"/>
        </w:rPr>
        <w:t xml:space="preserve">Reynolds, M.G. (2000). Compensatory evolution in </w:t>
      </w:r>
      <w:proofErr w:type="spellStart"/>
      <w:r>
        <w:rPr>
          <w:sz w:val="22"/>
          <w:szCs w:val="22"/>
        </w:rPr>
        <w:t>rifampin</w:t>
      </w:r>
      <w:proofErr w:type="spellEnd"/>
      <w:r>
        <w:rPr>
          <w:sz w:val="22"/>
          <w:szCs w:val="22"/>
        </w:rPr>
        <w:t>-resistant Escherichia coli. Genetics, 156(4), 1471–1481.</w:t>
      </w:r>
    </w:p>
    <w:p w14:paraId="20B87C32" w14:textId="77777777" w:rsidR="00BA7B27" w:rsidRDefault="00000000">
      <w:pPr>
        <w:spacing w:before="60" w:after="60" w:line="300" w:lineRule="auto"/>
        <w:ind w:left="720" w:hanging="720"/>
      </w:pPr>
      <w:proofErr w:type="spellStart"/>
      <w:r>
        <w:rPr>
          <w:sz w:val="22"/>
          <w:szCs w:val="22"/>
        </w:rPr>
        <w:t>Saebelfeld</w:t>
      </w:r>
      <w:proofErr w:type="spellEnd"/>
      <w:r>
        <w:rPr>
          <w:sz w:val="22"/>
          <w:szCs w:val="22"/>
        </w:rPr>
        <w:t xml:space="preserve">, M., Das, S.G., </w:t>
      </w:r>
      <w:proofErr w:type="spellStart"/>
      <w:r>
        <w:rPr>
          <w:sz w:val="22"/>
          <w:szCs w:val="22"/>
        </w:rPr>
        <w:t>Hagenbeek</w:t>
      </w:r>
      <w:proofErr w:type="spellEnd"/>
      <w:r>
        <w:rPr>
          <w:sz w:val="22"/>
          <w:szCs w:val="22"/>
        </w:rPr>
        <w:t>, A. et al. (2022). Stochastic establishment of β-lactam-resistant Escherichia coli mutants reveals conditions for collective resistance. PLOS Biology.</w:t>
      </w:r>
    </w:p>
    <w:p w14:paraId="60815876" w14:textId="77777777" w:rsidR="00BA7B27" w:rsidRDefault="00000000">
      <w:pPr>
        <w:spacing w:before="60" w:after="60" w:line="300" w:lineRule="auto"/>
        <w:ind w:left="720" w:hanging="720"/>
      </w:pPr>
      <w:r>
        <w:rPr>
          <w:sz w:val="22"/>
          <w:szCs w:val="22"/>
        </w:rPr>
        <w:t>Schroeder, J.W., Yeesin, P., Simmons, L.A. et al. (2018). Sources of spontaneous mutagenesis in bacteria. Critical Reviews in Biochemistry and Molecular Biology, 53(1), 29–48.</w:t>
      </w:r>
    </w:p>
    <w:p w14:paraId="5D2B9FF3" w14:textId="77777777" w:rsidR="00BA7B27" w:rsidRDefault="00000000">
      <w:pPr>
        <w:spacing w:before="60" w:after="60" w:line="300" w:lineRule="auto"/>
        <w:ind w:left="720" w:hanging="720"/>
      </w:pPr>
      <w:proofErr w:type="spellStart"/>
      <w:r>
        <w:rPr>
          <w:sz w:val="22"/>
          <w:szCs w:val="22"/>
        </w:rPr>
        <w:t>Soidah</w:t>
      </w:r>
      <w:proofErr w:type="spellEnd"/>
      <w:r>
        <w:rPr>
          <w:sz w:val="22"/>
          <w:szCs w:val="22"/>
        </w:rPr>
        <w:t xml:space="preserve">, S., Subroto, T., Faizal, I. et al. (2025). Beyond hotspot mutations: diagnostic relevance of high frequency, low frequency, and disputed </w:t>
      </w:r>
      <w:proofErr w:type="spellStart"/>
      <w:r>
        <w:rPr>
          <w:sz w:val="22"/>
          <w:szCs w:val="22"/>
        </w:rPr>
        <w:t>rpoB</w:t>
      </w:r>
      <w:proofErr w:type="spellEnd"/>
      <w:r>
        <w:rPr>
          <w:sz w:val="22"/>
          <w:szCs w:val="22"/>
        </w:rPr>
        <w:t xml:space="preserve"> variants in rifampicin-resistant Mycobacterium tuberculosis. Diagnostics.</w:t>
      </w:r>
    </w:p>
    <w:p w14:paraId="6DA41B7F" w14:textId="77777777" w:rsidR="00BA7B27" w:rsidRDefault="00000000">
      <w:pPr>
        <w:spacing w:before="60" w:after="60" w:line="300" w:lineRule="auto"/>
        <w:ind w:left="720" w:hanging="720"/>
      </w:pPr>
      <w:r>
        <w:rPr>
          <w:sz w:val="22"/>
          <w:szCs w:val="22"/>
        </w:rPr>
        <w:t xml:space="preserve">Wolff, E., Kim, M., Hu, K. et al. (2004). Polymerases leave fingerprints: analysis of the mutational spectrum in Escherichia coli </w:t>
      </w:r>
      <w:proofErr w:type="spellStart"/>
      <w:r>
        <w:rPr>
          <w:sz w:val="22"/>
          <w:szCs w:val="22"/>
        </w:rPr>
        <w:t>rpoB</w:t>
      </w:r>
      <w:proofErr w:type="spellEnd"/>
      <w:r>
        <w:rPr>
          <w:sz w:val="22"/>
          <w:szCs w:val="22"/>
        </w:rPr>
        <w:t xml:space="preserve"> to assess the role of polymerase IV in spontaneous mutation. Journal of Bacteriology, 186(9), 2900–2905.</w:t>
      </w:r>
    </w:p>
    <w:sectPr w:rsidR="00BA7B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F5800"/>
    <w:multiLevelType w:val="hybridMultilevel"/>
    <w:tmpl w:val="9E56C746"/>
    <w:lvl w:ilvl="0" w:tplc="45A2AC98">
      <w:start w:val="1"/>
      <w:numFmt w:val="bullet"/>
      <w:lvlText w:val="●"/>
      <w:lvlJc w:val="left"/>
      <w:pPr>
        <w:ind w:left="720" w:hanging="360"/>
      </w:pPr>
    </w:lvl>
    <w:lvl w:ilvl="1" w:tplc="E3F6E93A">
      <w:start w:val="1"/>
      <w:numFmt w:val="bullet"/>
      <w:lvlText w:val="○"/>
      <w:lvlJc w:val="left"/>
      <w:pPr>
        <w:ind w:left="1440" w:hanging="360"/>
      </w:pPr>
    </w:lvl>
    <w:lvl w:ilvl="2" w:tplc="E404FCEE">
      <w:start w:val="1"/>
      <w:numFmt w:val="bullet"/>
      <w:lvlText w:val="■"/>
      <w:lvlJc w:val="left"/>
      <w:pPr>
        <w:ind w:left="2160" w:hanging="360"/>
      </w:pPr>
    </w:lvl>
    <w:lvl w:ilvl="3" w:tplc="E07ECDB2">
      <w:start w:val="1"/>
      <w:numFmt w:val="bullet"/>
      <w:lvlText w:val="●"/>
      <w:lvlJc w:val="left"/>
      <w:pPr>
        <w:ind w:left="2880" w:hanging="360"/>
      </w:pPr>
    </w:lvl>
    <w:lvl w:ilvl="4" w:tplc="D96C9886">
      <w:start w:val="1"/>
      <w:numFmt w:val="bullet"/>
      <w:lvlText w:val="○"/>
      <w:lvlJc w:val="left"/>
      <w:pPr>
        <w:ind w:left="3600" w:hanging="360"/>
      </w:pPr>
    </w:lvl>
    <w:lvl w:ilvl="5" w:tplc="FC64506E">
      <w:start w:val="1"/>
      <w:numFmt w:val="bullet"/>
      <w:lvlText w:val="■"/>
      <w:lvlJc w:val="left"/>
      <w:pPr>
        <w:ind w:left="4320" w:hanging="360"/>
      </w:pPr>
    </w:lvl>
    <w:lvl w:ilvl="6" w:tplc="0DA84D08">
      <w:start w:val="1"/>
      <w:numFmt w:val="bullet"/>
      <w:lvlText w:val="●"/>
      <w:lvlJc w:val="left"/>
      <w:pPr>
        <w:ind w:left="5040" w:hanging="360"/>
      </w:pPr>
    </w:lvl>
    <w:lvl w:ilvl="7" w:tplc="9E022C9A">
      <w:start w:val="1"/>
      <w:numFmt w:val="bullet"/>
      <w:lvlText w:val="●"/>
      <w:lvlJc w:val="left"/>
      <w:pPr>
        <w:ind w:left="5760" w:hanging="360"/>
      </w:pPr>
    </w:lvl>
    <w:lvl w:ilvl="8" w:tplc="54F22F5E">
      <w:start w:val="1"/>
      <w:numFmt w:val="bullet"/>
      <w:lvlText w:val="●"/>
      <w:lvlJc w:val="left"/>
      <w:pPr>
        <w:ind w:left="6480" w:hanging="360"/>
      </w:pPr>
    </w:lvl>
  </w:abstractNum>
  <w:num w:numId="1" w16cid:durableId="34813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B27"/>
    <w:rsid w:val="00444C0D"/>
    <w:rsid w:val="00BA7B27"/>
    <w:rsid w:val="00C21C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CD856"/>
  <w15:docId w15:val="{76F654EC-A83E-44FB-B290-AEBCCA68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4892</Words>
  <Characters>27885</Characters>
  <Application>Microsoft Office Word</Application>
  <DocSecurity>0</DocSecurity>
  <Lines>232</Lines>
  <Paragraphs>65</Paragraphs>
  <ScaleCrop>false</ScaleCrop>
  <Company/>
  <LinksUpToDate>false</LinksUpToDate>
  <CharactersWithSpaces>32712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Ziqing Liu</cp:lastModifiedBy>
  <cp:revision>2</cp:revision>
  <dcterms:created xsi:type="dcterms:W3CDTF">2026-06-29T07:15:00Z</dcterms:created>
  <dcterms:modified xsi:type="dcterms:W3CDTF">2026-06-29T07:15:00Z</dcterms:modified>
</cp:coreProperties>
</file>