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40CEA" w14:textId="77777777" w:rsidR="007D6C85" w:rsidRPr="007D6C85" w:rsidRDefault="007D6C85" w:rsidP="007D6C85">
      <w:r w:rsidRPr="007D6C85">
        <w:t xml:space="preserve">When </w:t>
      </w:r>
      <w:r w:rsidRPr="007D6C85">
        <w:rPr>
          <w:i/>
          <w:iCs/>
        </w:rPr>
        <w:t>Escherichia coli</w:t>
      </w:r>
      <w:r w:rsidRPr="007D6C85">
        <w:t xml:space="preserve"> encounters supra-optimal temperatures, it mounts a rapid and coordinated heat shock response to restore cellular homeostasis. Rodríguez-Verdugo et al. (2020) describe how this transient physiological response to elevated temperature fundamentally alters cellular behaviour, leading to antibiotic tolerance and persistence as a secondary consequence of the stress programme. A central feature of this response is the upregulation of molecular chaperones — most notably </w:t>
      </w:r>
      <w:proofErr w:type="spellStart"/>
      <w:r w:rsidRPr="007D6C85">
        <w:t>DnaK</w:t>
      </w:r>
      <w:proofErr w:type="spellEnd"/>
      <w:r w:rsidRPr="007D6C85">
        <w:t>/</w:t>
      </w:r>
      <w:proofErr w:type="spellStart"/>
      <w:r w:rsidRPr="007D6C85">
        <w:t>DnaJ</w:t>
      </w:r>
      <w:proofErr w:type="spellEnd"/>
      <w:r w:rsidRPr="007D6C85">
        <w:t xml:space="preserve"> and trigger factor — which act to refold denatured proteins and prevent toxic protein aggregation. The functional importance of this chaperone network is starkly illustrated by Fan et al. (2024), who demonstrated that depletion of both </w:t>
      </w:r>
      <w:proofErr w:type="spellStart"/>
      <w:r w:rsidRPr="007D6C85">
        <w:t>DnaK</w:t>
      </w:r>
      <w:proofErr w:type="spellEnd"/>
      <w:r w:rsidRPr="007D6C85">
        <w:t xml:space="preserve">/J and trigger factor renders </w:t>
      </w:r>
      <w:r w:rsidRPr="007D6C85">
        <w:rPr>
          <w:i/>
          <w:iCs/>
        </w:rPr>
        <w:t>E. coli</w:t>
      </w:r>
      <w:r w:rsidRPr="007D6C85">
        <w:t xml:space="preserve"> inviable at 37°C, highlighting that even at standard laboratory temperatures, chaperone activity is indispensable for </w:t>
      </w:r>
      <w:proofErr w:type="spellStart"/>
      <w:r w:rsidRPr="007D6C85">
        <w:t>proteostasis</w:t>
      </w:r>
      <w:proofErr w:type="spellEnd"/>
      <w:r w:rsidRPr="007D6C85">
        <w:t xml:space="preserve">. Cruz-Loya et al. (2019) further showed that heat shock genes are induced not only by elevated temperature but also by specific antibiotics, revealing that the heat stress response and antibiotic stress response share substantial mechanistic overlap — a finding with direct implications for understanding why thermal adaptation can inadvertently select for antibiotic resistance. At the transcriptional level, Rodríguez-Verdugo et al. (2016) demonstrated that first-step mutations in </w:t>
      </w:r>
      <w:proofErr w:type="spellStart"/>
      <w:r w:rsidRPr="007D6C85">
        <w:rPr>
          <w:i/>
          <w:iCs/>
        </w:rPr>
        <w:t>rpoB</w:t>
      </w:r>
      <w:proofErr w:type="spellEnd"/>
      <w:r w:rsidRPr="007D6C85">
        <w:t xml:space="preserve"> selected under thermal stress at 42°C restore the expression of hundreds of heat-perturbed genes back toward their pre-stress baseline, suggesting that much of the fitness benefit of these mutations derives from correcting the transcriptional dysregulation imposed by heat rather than from any direct biochemical improvement in enzyme function. Jiao et al. (2024) corroborated this picture through genome-wide transcriptomic analysis, documenting the broad reprogramming of gene expression that accompanies </w:t>
      </w:r>
      <w:r w:rsidRPr="007D6C85">
        <w:rPr>
          <w:i/>
          <w:iCs/>
        </w:rPr>
        <w:t>E. coli</w:t>
      </w:r>
      <w:r w:rsidRPr="007D6C85">
        <w:t xml:space="preserve"> adaptation to elevated temperature, with changes spanning ribosome biogenesis, metabolic pathways, and stress response regulons.</w:t>
      </w:r>
    </w:p>
    <w:p w14:paraId="24303671" w14:textId="77777777" w:rsidR="007D6C85" w:rsidRPr="007D6C85" w:rsidRDefault="007D6C85" w:rsidP="007D6C85">
      <w:r w:rsidRPr="007D6C85">
        <w:pict w14:anchorId="5818C17F">
          <v:rect id="_x0000_i1031" style="width:0;height:1.5pt" o:hralign="center" o:hrstd="t" o:hr="t" fillcolor="#a0a0a0" stroked="f"/>
        </w:pict>
      </w:r>
    </w:p>
    <w:p w14:paraId="68A540D3" w14:textId="77777777" w:rsidR="007D6C85" w:rsidRPr="007D6C85" w:rsidRDefault="007D6C85" w:rsidP="007D6C85">
      <w:r w:rsidRPr="007D6C85">
        <w:rPr>
          <w:b/>
          <w:bCs/>
        </w:rPr>
        <w:t>Cold Response</w:t>
      </w:r>
    </w:p>
    <w:p w14:paraId="26B4CC33" w14:textId="77777777" w:rsidR="007D6C85" w:rsidRPr="007D6C85" w:rsidRDefault="007D6C85" w:rsidP="007D6C85">
      <w:r w:rsidRPr="007D6C85">
        <w:t xml:space="preserve">The physiological response of </w:t>
      </w:r>
      <w:r w:rsidRPr="007D6C85">
        <w:rPr>
          <w:i/>
          <w:iCs/>
        </w:rPr>
        <w:t>E. coli</w:t>
      </w:r>
      <w:r w:rsidRPr="007D6C85">
        <w:t xml:space="preserve"> to sub-optimal temperatures is mechanistically distinct from the heat shock response, reflecting the different cellular challenges posed by cold stress. Whereas heat stress primarily threatens protein folding integrity, cold stress impairs membrane fluidity and ribosome function, slowing translation and disrupting the coordination of transcription and translation. Rodríguez-Verdugo et al. (2020) note that low temperature, like heat, induces transient physiological changes that alter antibiotic susceptibility, though the downstream consequences differ — cold-stressed cells tend to show increased sensitivity to antibiotics that disrupt processes already compromised by the cold, such as membrane integrity and ribosome assembly. Cruz-Loya et al. (2019) provided direct experimental evidence for the mechanistic separation of cold and heat stress responses using a network-clustering approach based on phenotypic growth data: responses to low and high temperatures formed clearly separated clusters in phenotypic space, each associated with a distinct group of antibiotics whose effects on growth mimic those of the respective temperature extreme. Critically, they confirmed that cold shock genes — </w:t>
      </w:r>
      <w:r w:rsidRPr="007D6C85">
        <w:lastRenderedPageBreak/>
        <w:t xml:space="preserve">analogous to heat shock genes — are induced by specific antibiotics, suggesting that the cold stress response machinery has similarly been co-opted to manage chemical stress. Consistent with this, Cruz-Loya et al. (2019) observed that strains of </w:t>
      </w:r>
      <w:r w:rsidRPr="007D6C85">
        <w:rPr>
          <w:i/>
          <w:iCs/>
        </w:rPr>
        <w:t>E. coli</w:t>
      </w:r>
      <w:r w:rsidRPr="007D6C85">
        <w:t xml:space="preserve"> experimentally evolved at high temperatures subsequently showed increased sensitivity to antibiotics that phenotypically resemble cold stress, indicating that thermal adaptation reshapes not only heat resistance but also the cold stress response network, with the two programmes being physiologically antagonistic. Fan et al. (2024) added a further dimension to cold-relevant physiology by showing that the </w:t>
      </w:r>
      <w:r w:rsidRPr="007D6C85">
        <w:rPr>
          <w:i/>
          <w:iCs/>
        </w:rPr>
        <w:t>E. coli</w:t>
      </w:r>
      <w:r w:rsidRPr="007D6C85">
        <w:t xml:space="preserve"> strain depleted of </w:t>
      </w:r>
      <w:proofErr w:type="spellStart"/>
      <w:r w:rsidRPr="007D6C85">
        <w:t>DnaK</w:t>
      </w:r>
      <w:proofErr w:type="spellEnd"/>
      <w:r w:rsidRPr="007D6C85">
        <w:t xml:space="preserve">/J and trigger factor remained viable below 30°C but not at 37°C, implying that the </w:t>
      </w:r>
      <w:proofErr w:type="spellStart"/>
      <w:r w:rsidRPr="007D6C85">
        <w:t>proteostasis</w:t>
      </w:r>
      <w:proofErr w:type="spellEnd"/>
      <w:r w:rsidRPr="007D6C85">
        <w:t xml:space="preserve"> requirements of the cell are fundamentally different at lower temperatures and that the chaperone network operates under distinct constraints in the cold versus the heat.</w:t>
      </w:r>
    </w:p>
    <w:p w14:paraId="0DC5464F" w14:textId="5AADFC6D" w:rsidR="007D6C85" w:rsidRDefault="007D6C85">
      <w:hyperlink r:id="rId4" w:history="1">
        <w:r w:rsidRPr="00977AB3">
          <w:rPr>
            <w:rStyle w:val="Hyperlink"/>
          </w:rPr>
          <w:t>https://pmc.ncbi.nlm.nih.gov/articles/PMC8128238/</w:t>
        </w:r>
      </w:hyperlink>
    </w:p>
    <w:p w14:paraId="46973DAA" w14:textId="77777777" w:rsidR="007D6C85" w:rsidRDefault="007D6C85"/>
    <w:p w14:paraId="28474163" w14:textId="77777777" w:rsidR="007D6C85" w:rsidRDefault="007D6C85"/>
    <w:p w14:paraId="499392F9" w14:textId="21EE8003" w:rsidR="007D6C85" w:rsidRDefault="007D6C85">
      <w:r w:rsidRPr="007D6C85">
        <w:t xml:space="preserve">Rifampicin and </w:t>
      </w:r>
      <w:proofErr w:type="spellStart"/>
      <w:r w:rsidRPr="007D6C85">
        <w:t>rpoB</w:t>
      </w:r>
      <w:proofErr w:type="spellEnd"/>
      <w:r w:rsidRPr="007D6C85">
        <w:t xml:space="preserve"> </w:t>
      </w:r>
      <w:proofErr w:type="gramStart"/>
      <w:r w:rsidRPr="007D6C85">
        <w:t>To</w:t>
      </w:r>
      <w:proofErr w:type="gramEnd"/>
      <w:r w:rsidRPr="007D6C85">
        <w:t xml:space="preserve"> thoroughly investigate parallel evolution in bacteria, I will be using the antibiotic rifampicin (RIF) as an absolute filter to test for repeatability by pulling out resistant mutations from the population of the model bacteria L. plantarum. These mutations will then be compared with two other species of bacteria - E. coli and A. </w:t>
      </w:r>
      <w:proofErr w:type="spellStart"/>
      <w:r w:rsidRPr="007D6C85">
        <w:t>baylyi</w:t>
      </w:r>
      <w:proofErr w:type="spellEnd"/>
      <w:r w:rsidRPr="007D6C85">
        <w:t xml:space="preserve"> - to evaluate similarity at both the genotypic and the phenotypic level. RIF was picked as the antibiotic of choice because it is an effective bactericidal drug that can treat a wide range of common infections. It is in the annamycin family which is a group of drugs that can target both 3 gram-positive and gram-negative bacteria. However, it is most well known for being the first-line drug to treat Mycobacterium tuberculosis (Suresh et al., 2023). RIF targets the RNA polymerase by binding close to the beta subunit which blocks the elongation of synthesized RNA molecules, thereby leading to premature termination of transcription and ultimately cell death (Campbell et al., 2001). RIF resistance therefore mainly occurs in the </w:t>
      </w:r>
      <w:proofErr w:type="spellStart"/>
      <w:r w:rsidRPr="007D6C85">
        <w:t>rpoB</w:t>
      </w:r>
      <w:proofErr w:type="spellEnd"/>
      <w:r w:rsidRPr="007D6C85">
        <w:t xml:space="preserve"> gene which encodes the beta subunit of bacterial RNA polymerase. </w:t>
      </w:r>
      <w:proofErr w:type="gramStart"/>
      <w:r w:rsidRPr="007D6C85">
        <w:t>Typically</w:t>
      </w:r>
      <w:proofErr w:type="gramEnd"/>
      <w:r w:rsidRPr="007D6C85">
        <w:t xml:space="preserve"> resistance is due to a structural change in the beta sub-unit which renders it impossible for RIF to bind onto the original active site (Munita, et al, 2015). Additionally, it is intriguing that although the </w:t>
      </w:r>
      <w:proofErr w:type="spellStart"/>
      <w:r w:rsidRPr="007D6C85">
        <w:t>rpoB</w:t>
      </w:r>
      <w:proofErr w:type="spellEnd"/>
      <w:r w:rsidRPr="007D6C85">
        <w:t xml:space="preserve"> gene encodes for 1342 amino acids, previous studies done on Haemophilus influenzae, M. tuberculosis, Neisseria and Streptococcus pneumoniae indicate that resistance mutations only occur at a relatively small set of loci known as the rifampicin resistance-determining region (RRDR) (Goldstein, 2014). The data collected from our lab also supports this observation as E. coli and A. </w:t>
      </w:r>
      <w:proofErr w:type="spellStart"/>
      <w:r w:rsidRPr="007D6C85">
        <w:t>baylyi</w:t>
      </w:r>
      <w:proofErr w:type="spellEnd"/>
      <w:r w:rsidRPr="007D6C85">
        <w:t xml:space="preserve"> all predominantly have mutations appearing in this region (</w:t>
      </w:r>
      <w:proofErr w:type="spellStart"/>
      <w:r w:rsidRPr="007D6C85">
        <w:t>Engelstaedter</w:t>
      </w:r>
      <w:proofErr w:type="spellEnd"/>
      <w:r w:rsidRPr="007D6C85">
        <w:t xml:space="preserve">, 2023). The area in question has four main clusters, I, II, III, and N. Cluster I is notable for </w:t>
      </w:r>
      <w:proofErr w:type="spellStart"/>
      <w:r w:rsidRPr="007D6C85">
        <w:t>harboring</w:t>
      </w:r>
      <w:proofErr w:type="spellEnd"/>
      <w:r w:rsidRPr="007D6C85">
        <w:t xml:space="preserve"> most mutations. Therefore because </w:t>
      </w:r>
      <w:proofErr w:type="spellStart"/>
      <w:r w:rsidRPr="007D6C85">
        <w:t>rpoB</w:t>
      </w:r>
      <w:proofErr w:type="spellEnd"/>
      <w:r w:rsidRPr="007D6C85">
        <w:t xml:space="preserve"> is extremely conserved in nearly every bacteria and RIF is so precise in its targeting, it makes for an excellent controlled model for testing the repeatability of evolution.</w:t>
      </w:r>
    </w:p>
    <w:sectPr w:rsidR="007D6C8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C85"/>
    <w:rsid w:val="002D21CF"/>
    <w:rsid w:val="007D6C8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6D73B"/>
  <w15:chartTrackingRefBased/>
  <w15:docId w15:val="{443659D1-02E0-443C-B58B-C6D482ACD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C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6C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6C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6C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6C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6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C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6C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6C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6C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6C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6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C85"/>
    <w:rPr>
      <w:rFonts w:eastAsiaTheme="majorEastAsia" w:cstheme="majorBidi"/>
      <w:color w:val="272727" w:themeColor="text1" w:themeTint="D8"/>
    </w:rPr>
  </w:style>
  <w:style w:type="paragraph" w:styleId="Title">
    <w:name w:val="Title"/>
    <w:basedOn w:val="Normal"/>
    <w:next w:val="Normal"/>
    <w:link w:val="TitleChar"/>
    <w:uiPriority w:val="10"/>
    <w:qFormat/>
    <w:rsid w:val="007D6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C85"/>
    <w:pPr>
      <w:spacing w:before="160"/>
      <w:jc w:val="center"/>
    </w:pPr>
    <w:rPr>
      <w:i/>
      <w:iCs/>
      <w:color w:val="404040" w:themeColor="text1" w:themeTint="BF"/>
    </w:rPr>
  </w:style>
  <w:style w:type="character" w:customStyle="1" w:styleId="QuoteChar">
    <w:name w:val="Quote Char"/>
    <w:basedOn w:val="DefaultParagraphFont"/>
    <w:link w:val="Quote"/>
    <w:uiPriority w:val="29"/>
    <w:rsid w:val="007D6C85"/>
    <w:rPr>
      <w:i/>
      <w:iCs/>
      <w:color w:val="404040" w:themeColor="text1" w:themeTint="BF"/>
    </w:rPr>
  </w:style>
  <w:style w:type="paragraph" w:styleId="ListParagraph">
    <w:name w:val="List Paragraph"/>
    <w:basedOn w:val="Normal"/>
    <w:uiPriority w:val="34"/>
    <w:qFormat/>
    <w:rsid w:val="007D6C85"/>
    <w:pPr>
      <w:ind w:left="720"/>
      <w:contextualSpacing/>
    </w:pPr>
  </w:style>
  <w:style w:type="character" w:styleId="IntenseEmphasis">
    <w:name w:val="Intense Emphasis"/>
    <w:basedOn w:val="DefaultParagraphFont"/>
    <w:uiPriority w:val="21"/>
    <w:qFormat/>
    <w:rsid w:val="007D6C85"/>
    <w:rPr>
      <w:i/>
      <w:iCs/>
      <w:color w:val="2F5496" w:themeColor="accent1" w:themeShade="BF"/>
    </w:rPr>
  </w:style>
  <w:style w:type="paragraph" w:styleId="IntenseQuote">
    <w:name w:val="Intense Quote"/>
    <w:basedOn w:val="Normal"/>
    <w:next w:val="Normal"/>
    <w:link w:val="IntenseQuoteChar"/>
    <w:uiPriority w:val="30"/>
    <w:qFormat/>
    <w:rsid w:val="007D6C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6C85"/>
    <w:rPr>
      <w:i/>
      <w:iCs/>
      <w:color w:val="2F5496" w:themeColor="accent1" w:themeShade="BF"/>
    </w:rPr>
  </w:style>
  <w:style w:type="character" w:styleId="IntenseReference">
    <w:name w:val="Intense Reference"/>
    <w:basedOn w:val="DefaultParagraphFont"/>
    <w:uiPriority w:val="32"/>
    <w:qFormat/>
    <w:rsid w:val="007D6C85"/>
    <w:rPr>
      <w:b/>
      <w:bCs/>
      <w:smallCaps/>
      <w:color w:val="2F5496" w:themeColor="accent1" w:themeShade="BF"/>
      <w:spacing w:val="5"/>
    </w:rPr>
  </w:style>
  <w:style w:type="character" w:styleId="Hyperlink">
    <w:name w:val="Hyperlink"/>
    <w:basedOn w:val="DefaultParagraphFont"/>
    <w:uiPriority w:val="99"/>
    <w:unhideWhenUsed/>
    <w:rsid w:val="007D6C85"/>
    <w:rPr>
      <w:color w:val="0563C1" w:themeColor="hyperlink"/>
      <w:u w:val="single"/>
    </w:rPr>
  </w:style>
  <w:style w:type="character" w:styleId="UnresolvedMention">
    <w:name w:val="Unresolved Mention"/>
    <w:basedOn w:val="DefaultParagraphFont"/>
    <w:uiPriority w:val="99"/>
    <w:semiHidden/>
    <w:unhideWhenUsed/>
    <w:rsid w:val="007D6C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mc.ncbi.nlm.nih.gov/articles/PMC81282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977</Words>
  <Characters>5569</Characters>
  <Application>Microsoft Office Word</Application>
  <DocSecurity>0</DocSecurity>
  <Lines>46</Lines>
  <Paragraphs>13</Paragraphs>
  <ScaleCrop>false</ScaleCrop>
  <Company/>
  <LinksUpToDate>false</LinksUpToDate>
  <CharactersWithSpaces>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Ziqing Liu</dc:creator>
  <cp:keywords/>
  <dc:description/>
  <cp:lastModifiedBy>Ziqing Liu</cp:lastModifiedBy>
  <cp:revision>1</cp:revision>
  <dcterms:created xsi:type="dcterms:W3CDTF">2026-03-30T11:27:00Z</dcterms:created>
  <dcterms:modified xsi:type="dcterms:W3CDTF">2026-03-30T11:31:00Z</dcterms:modified>
</cp:coreProperties>
</file>