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B2DD" w14:textId="77777777" w:rsidR="000D2339" w:rsidRDefault="002604F9">
      <w:pPr>
        <w:spacing w:before="720" w:after="120"/>
        <w:jc w:val="center"/>
      </w:pPr>
      <w:r>
        <w:rPr>
          <w:b/>
          <w:bCs/>
          <w:color w:val="1F3864"/>
          <w:sz w:val="40"/>
          <w:szCs w:val="40"/>
        </w:rPr>
        <w:t>Literature Review Outline</w:t>
      </w:r>
    </w:p>
    <w:p w14:paraId="4DC7B202" w14:textId="77777777" w:rsidR="000D2339" w:rsidRDefault="002604F9">
      <w:pPr>
        <w:spacing w:after="80"/>
        <w:jc w:val="center"/>
      </w:pPr>
      <w:r>
        <w:rPr>
          <w:b/>
          <w:bCs/>
          <w:i/>
          <w:iCs/>
          <w:color w:val="2E5F8A"/>
          <w:sz w:val="28"/>
          <w:szCs w:val="28"/>
        </w:rPr>
        <w:t xml:space="preserve">Temperature-Dependent Fitness Effects of </w:t>
      </w:r>
      <w:proofErr w:type="spellStart"/>
      <w:r>
        <w:rPr>
          <w:b/>
          <w:bCs/>
          <w:i/>
          <w:iCs/>
          <w:color w:val="2E5F8A"/>
          <w:sz w:val="28"/>
          <w:szCs w:val="28"/>
        </w:rPr>
        <w:t>rpoB</w:t>
      </w:r>
      <w:proofErr w:type="spellEnd"/>
      <w:r>
        <w:rPr>
          <w:b/>
          <w:bCs/>
          <w:i/>
          <w:iCs/>
          <w:color w:val="2E5F8A"/>
          <w:sz w:val="28"/>
          <w:szCs w:val="28"/>
        </w:rPr>
        <w:t xml:space="preserve"> Mutations in Escherichia coli</w:t>
      </w:r>
    </w:p>
    <w:p w14:paraId="0104DBF5" w14:textId="77777777" w:rsidR="000D2339" w:rsidRDefault="002604F9">
      <w:pPr>
        <w:spacing w:after="600"/>
        <w:jc w:val="center"/>
      </w:pPr>
      <w:r>
        <w:rPr>
          <w:color w:val="999999"/>
        </w:rPr>
        <w:t>Headings · Subheadings · Key Points to Cover</w:t>
      </w:r>
    </w:p>
    <w:p w14:paraId="327708B1" w14:textId="77777777" w:rsidR="000D2339" w:rsidRDefault="002604F9">
      <w:pPr>
        <w:pStyle w:val="Heading1"/>
        <w:pBdr>
          <w:bottom w:val="single" w:sz="6" w:space="6" w:color="1F3864"/>
        </w:pBdr>
      </w:pPr>
      <w:r>
        <w:t xml:space="preserve">1.  Introduction: Antibiotic Resistance, Fitness, and the </w:t>
      </w:r>
      <w:proofErr w:type="spellStart"/>
      <w:r>
        <w:t>rpoB</w:t>
      </w:r>
      <w:proofErr w:type="spellEnd"/>
      <w:r>
        <w:t xml:space="preserve"> System</w:t>
      </w:r>
    </w:p>
    <w:p w14:paraId="1B953B1B" w14:textId="77777777" w:rsidR="000D2339" w:rsidRDefault="002604F9">
      <w:pPr>
        <w:pStyle w:val="Heading2"/>
      </w:pPr>
      <w:proofErr w:type="gramStart"/>
      <w:r>
        <w:t>1.1  The</w:t>
      </w:r>
      <w:proofErr w:type="gramEnd"/>
      <w:r>
        <w:t xml:space="preserve"> Historical Landscape of Antibiotic Resistance</w:t>
      </w:r>
    </w:p>
    <w:p w14:paraId="470940C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Discovery of penicillin (Fleming, 1928) and the antibiotic golden age — set up the clinical dependency on antibiotics</w:t>
      </w:r>
    </w:p>
    <w:p w14:paraId="4906085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First documented resistance cases emerging within years of clinical deployment — underscore the speed of bacterial evolution</w:t>
      </w:r>
    </w:p>
    <w:p w14:paraId="0779BF4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The WHO global AMR emergency declaration and projected mortality burden — frame clinical urgency</w:t>
      </w:r>
    </w:p>
    <w:p w14:paraId="64ABD4F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Shift from single-drug resistance to multi-drug and pan-drug resistance — situate rifampicin resistance within the broader MDR crisis</w:t>
      </w:r>
    </w:p>
    <w:p w14:paraId="2F150CB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The two classical routes to resistance: de novo mutation vs. horizontal gene transfer — clarify that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resistance is mutation-driven, not transferable</w:t>
      </w:r>
    </w:p>
    <w:p w14:paraId="5594FF20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Goldstein (2014); </w:t>
      </w:r>
      <w:proofErr w:type="spellStart"/>
      <w:r>
        <w:rPr>
          <w:i/>
          <w:iCs/>
          <w:color w:val="888888"/>
          <w:sz w:val="20"/>
          <w:szCs w:val="20"/>
        </w:rPr>
        <w:t>Bolourchi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(2024)</w:t>
      </w:r>
    </w:p>
    <w:p w14:paraId="500C4F22" w14:textId="77777777" w:rsidR="000D2339" w:rsidRDefault="000D2339">
      <w:pPr>
        <w:spacing w:after="60"/>
      </w:pPr>
    </w:p>
    <w:p w14:paraId="0344A365" w14:textId="77777777" w:rsidR="000D2339" w:rsidRDefault="002604F9">
      <w:pPr>
        <w:pStyle w:val="Heading2"/>
      </w:pPr>
      <w:proofErr w:type="gramStart"/>
      <w:r>
        <w:t>1.2  Defining</w:t>
      </w:r>
      <w:proofErr w:type="gramEnd"/>
      <w:r>
        <w:t xml:space="preserve"> Biological Fitness in a Microbial Context</w:t>
      </w:r>
    </w:p>
    <w:p w14:paraId="7B3D1D9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Relative fitness — define formally as the selection coefficient (s) measured via competition assays against a reference strain</w:t>
      </w:r>
    </w:p>
    <w:p w14:paraId="72A47FF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Absolute vs. relative fitness — growth rate alone vs. head-to-head competition; implications for how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studies should be interpreted</w:t>
      </w:r>
    </w:p>
    <w:p w14:paraId="2BCE4FB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The distribution of fitness effects (DFE) — most mutations are neutral or deleterious; beneficial mutations are rare but disproportionately important</w:t>
      </w:r>
    </w:p>
    <w:p w14:paraId="24D42A3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Environment-dependence of fitness — the same genotype can have positive, neutral, or negative s depending on temperature, nutrients, and genetic background</w:t>
      </w:r>
    </w:p>
    <w:p w14:paraId="7A6475EA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Fitness costs of resistance — the traditional 'cost-of-resistance' paradigm and its limitations; introduce the idea that costs are not fixed properties</w:t>
      </w:r>
    </w:p>
    <w:p w14:paraId="7B0C8E76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lastRenderedPageBreak/>
        <w:t xml:space="preserve">Key refs: </w:t>
      </w:r>
      <w:proofErr w:type="spellStart"/>
      <w:r>
        <w:rPr>
          <w:i/>
          <w:iCs/>
          <w:color w:val="888888"/>
          <w:sz w:val="20"/>
          <w:szCs w:val="20"/>
        </w:rPr>
        <w:t>Bataillon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(2011); </w:t>
      </w:r>
      <w:proofErr w:type="spellStart"/>
      <w:r>
        <w:rPr>
          <w:i/>
          <w:iCs/>
          <w:color w:val="888888"/>
          <w:sz w:val="20"/>
          <w:szCs w:val="20"/>
        </w:rPr>
        <w:t>Yubero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(2021); Trindade et al. (2012)</w:t>
      </w:r>
    </w:p>
    <w:p w14:paraId="2BC239D5" w14:textId="77777777" w:rsidR="000D2339" w:rsidRDefault="000D2339">
      <w:pPr>
        <w:spacing w:after="60"/>
      </w:pPr>
    </w:p>
    <w:p w14:paraId="553168AF" w14:textId="77777777" w:rsidR="000D2339" w:rsidRDefault="002604F9">
      <w:pPr>
        <w:pStyle w:val="Heading2"/>
      </w:pPr>
      <w:proofErr w:type="gramStart"/>
      <w:r>
        <w:t>1.3  Why</w:t>
      </w:r>
      <w:proofErr w:type="gramEnd"/>
      <w:r>
        <w:t xml:space="preserve"> </w:t>
      </w:r>
      <w:proofErr w:type="spellStart"/>
      <w:r>
        <w:t>rpoB</w:t>
      </w:r>
      <w:proofErr w:type="spellEnd"/>
      <w:r>
        <w:t>? RNA Polymerase as an Adaptive Hub</w:t>
      </w:r>
    </w:p>
    <w:p w14:paraId="6389E64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RNA polymerase is the master regulator of transcription — mutations here have genome-wide pleiotropic consequences, making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uniquely informative</w:t>
      </w:r>
    </w:p>
    <w:p w14:paraId="3C54106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as a target of natural selection in multiple ecological contexts: thermal stress, nutrient limitation, phage predation, antibiotic pressure</w:t>
      </w:r>
    </w:p>
    <w:p w14:paraId="00070F4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Parallel evolution at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across independent populations — strong signal of positive selection, not drift</w:t>
      </w:r>
    </w:p>
    <w:p w14:paraId="29E0C21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Introduce the dual identity of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mutations: resistance markers AND adaptive mutations under thermal/nutritional stress</w:t>
      </w:r>
    </w:p>
    <w:p w14:paraId="2E8212BE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Tenaillon et al. (2012); Conrad et al. (2010); Rodríguez-Verdugo et al. (2013)</w:t>
      </w:r>
    </w:p>
    <w:p w14:paraId="4F15E135" w14:textId="77777777" w:rsidR="000D2339" w:rsidRDefault="000D2339">
      <w:pPr>
        <w:spacing w:after="60"/>
      </w:pPr>
    </w:p>
    <w:p w14:paraId="156D9476" w14:textId="77777777" w:rsidR="000D2339" w:rsidRDefault="002604F9">
      <w:pPr>
        <w:pStyle w:val="Heading1"/>
        <w:pBdr>
          <w:bottom w:val="single" w:sz="6" w:space="6" w:color="1F3864"/>
        </w:pBdr>
      </w:pPr>
      <w:r>
        <w:t xml:space="preserve">2.  Rifampicin, RNA Polymerase, and the Molecular Biology of </w:t>
      </w:r>
      <w:proofErr w:type="spellStart"/>
      <w:r>
        <w:t>rpoB</w:t>
      </w:r>
      <w:proofErr w:type="spellEnd"/>
      <w:r>
        <w:t xml:space="preserve"> Mutations</w:t>
      </w:r>
    </w:p>
    <w:p w14:paraId="27E51D0E" w14:textId="77777777" w:rsidR="000D2339" w:rsidRDefault="002604F9">
      <w:pPr>
        <w:pStyle w:val="Heading2"/>
      </w:pPr>
      <w:proofErr w:type="gramStart"/>
      <w:r>
        <w:t>2.1  Rifampicin</w:t>
      </w:r>
      <w:proofErr w:type="gramEnd"/>
      <w:r>
        <w:t>: Mechanism of Action and Clinical Importance</w:t>
      </w:r>
    </w:p>
    <w:p w14:paraId="1B985FA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Chemical class (ansamycin), natural origin from </w:t>
      </w:r>
      <w:proofErr w:type="spellStart"/>
      <w:r>
        <w:rPr>
          <w:color w:val="555555"/>
        </w:rPr>
        <w:t>Amycolatopsis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rifamycinica</w:t>
      </w:r>
      <w:proofErr w:type="spellEnd"/>
    </w:p>
    <w:p w14:paraId="3F9B558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Molecular mechanism: binding to the β-subunit RRDR pocket, blocking nascent RNA elongation beyond 2–3 nucleotides</w:t>
      </w:r>
    </w:p>
    <w:p w14:paraId="452CE22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Clinical applications: first-line TB therapy (RHEZ regimen), leprosy, meningococcal prophylaxis — justify why rifampicin resistance is clinically critical</w:t>
      </w:r>
    </w:p>
    <w:p w14:paraId="65EDB2C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High spontaneous resistance frequency (~10⁻⁷–10⁻⁹ per cell per generation) — explain why rifampicin is never used as monotherapy</w:t>
      </w:r>
    </w:p>
    <w:p w14:paraId="6AF0AC1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Rifampicin as a tool in experimental evolution: use as a phenotypic marker to detect and quantify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</w:t>
      </w:r>
    </w:p>
    <w:p w14:paraId="2E0633B0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Goldstein (2014)</w:t>
      </w:r>
    </w:p>
    <w:p w14:paraId="3EF9B83C" w14:textId="77777777" w:rsidR="000D2339" w:rsidRDefault="000D2339">
      <w:pPr>
        <w:spacing w:after="60"/>
      </w:pPr>
    </w:p>
    <w:p w14:paraId="0D1DB2B6" w14:textId="77777777" w:rsidR="000D2339" w:rsidRDefault="002604F9">
      <w:pPr>
        <w:pStyle w:val="Heading2"/>
      </w:pPr>
      <w:proofErr w:type="gramStart"/>
      <w:r>
        <w:t>2.2  Structure</w:t>
      </w:r>
      <w:proofErr w:type="gramEnd"/>
      <w:r>
        <w:t xml:space="preserve"> of the β-Subunit and the Rifampicin Resistance Determining Region (RRDR)</w:t>
      </w:r>
    </w:p>
    <w:p w14:paraId="475DAC9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Overview of RNAP holoenzyme architecture (α₂ββ'ω core + σ factor) — position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within the enzyme</w:t>
      </w:r>
    </w:p>
    <w:p w14:paraId="6FB2C05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The RRDR: define the three mutation clusters (Cluster I: 516–522; Cluster II: 526–531; Cluster III: 563–572 in E. coli numbering)</w:t>
      </w:r>
    </w:p>
    <w:p w14:paraId="378ADA1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>Structural location of the RRDR relative to the catalytic centre, the RNA exit channel, and the rifampicin binding pocket</w:t>
      </w:r>
    </w:p>
    <w:p w14:paraId="64DDC5F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How different RRDR mutations alter the geometry of rifampicin binding — the structural basis of resistance</w:t>
      </w:r>
    </w:p>
    <w:p w14:paraId="2B00D9F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Conservation of the RRDR across bacterial phyla — implications for cross-species extrapolation</w:t>
      </w:r>
    </w:p>
    <w:p w14:paraId="5AB5CF63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</w:t>
      </w:r>
      <w:proofErr w:type="spellStart"/>
      <w:r>
        <w:rPr>
          <w:i/>
          <w:iCs/>
          <w:color w:val="888888"/>
          <w:sz w:val="20"/>
          <w:szCs w:val="20"/>
        </w:rPr>
        <w:t>Bolourchi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(2024); Jin &amp; Gross (1989); Goldstein (2014)</w:t>
      </w:r>
    </w:p>
    <w:p w14:paraId="0BE1E4D5" w14:textId="77777777" w:rsidR="000D2339" w:rsidRDefault="000D2339">
      <w:pPr>
        <w:spacing w:after="60"/>
      </w:pPr>
    </w:p>
    <w:p w14:paraId="74146703" w14:textId="77777777" w:rsidR="000D2339" w:rsidRDefault="002604F9">
      <w:pPr>
        <w:pStyle w:val="Heading2"/>
      </w:pPr>
      <w:proofErr w:type="gramStart"/>
      <w:r>
        <w:t>2.3  The</w:t>
      </w:r>
      <w:proofErr w:type="gramEnd"/>
      <w:r>
        <w:t xml:space="preserve"> Molecular Basis of Temperature-Sensitive </w:t>
      </w:r>
      <w:proofErr w:type="spellStart"/>
      <w:r>
        <w:t>rpoB</w:t>
      </w:r>
      <w:proofErr w:type="spellEnd"/>
      <w:r>
        <w:t xml:space="preserve"> Phenotypes</w:t>
      </w:r>
    </w:p>
    <w:p w14:paraId="4DC0E1AA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Early observation by Jin &amp; Gross (1989): mutations at codons 522–529 prevent growth at high temperature; mutations at 531–564 are non-permissive at low temperature — establish that temperature-sensitivity is structurally clustered</w:t>
      </w:r>
    </w:p>
    <w:p w14:paraId="7B9E0F1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Biophysical rationale: how amino acid substitutions in the RRDR alter the conformational dynamics and thermostability of the β-subunit</w:t>
      </w:r>
    </w:p>
    <w:p w14:paraId="79B611D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Temperature-sensitive protein folding — the RRDR as a region sensitive to thermal unfolding; mutations may stabilise or destabilise the active conformation</w:t>
      </w:r>
    </w:p>
    <w:p w14:paraId="58D7445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Interaction with molecular chaperones (</w:t>
      </w:r>
      <w:proofErr w:type="spellStart"/>
      <w:r>
        <w:rPr>
          <w:color w:val="555555"/>
        </w:rPr>
        <w:t>DnaK</w:t>
      </w:r>
      <w:proofErr w:type="spellEnd"/>
      <w:r>
        <w:rPr>
          <w:color w:val="555555"/>
        </w:rPr>
        <w:t xml:space="preserve">/J, </w:t>
      </w:r>
      <w:proofErr w:type="spellStart"/>
      <w:r>
        <w:rPr>
          <w:color w:val="555555"/>
        </w:rPr>
        <w:t>GroEL</w:t>
      </w:r>
      <w:proofErr w:type="spellEnd"/>
      <w:r>
        <w:rPr>
          <w:color w:val="555555"/>
        </w:rPr>
        <w:t xml:space="preserve">/ES) —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alter chaperone dependency, directly linking RNAP structure to the heat shock network</w:t>
      </w:r>
    </w:p>
    <w:p w14:paraId="5565925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Fan et al. (2024) LGN insertion — </w:t>
      </w:r>
      <w:proofErr w:type="gramStart"/>
      <w:r>
        <w:rPr>
          <w:color w:val="555555"/>
        </w:rPr>
        <w:t>an</w:t>
      </w:r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insertion that suppresses synthetic lethality from chaperone depletion at 37°C; mechanistic evidence for structural interaction between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proteostasis</w:t>
      </w:r>
      <w:proofErr w:type="spellEnd"/>
    </w:p>
    <w:p w14:paraId="34AC4AE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Yeh et al. (2025) novel RNAP mutant conferring both thermotolerance and chaperone independence — extend the mechanistic argument</w:t>
      </w:r>
    </w:p>
    <w:p w14:paraId="50C17ED1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Jin &amp; Gross (1989); Fan et al. (2024); Yeh et al. (2025)</w:t>
      </w:r>
    </w:p>
    <w:p w14:paraId="2A2AF30A" w14:textId="77777777" w:rsidR="000D2339" w:rsidRDefault="000D2339">
      <w:pPr>
        <w:spacing w:after="60"/>
      </w:pPr>
    </w:p>
    <w:p w14:paraId="4CBA9BAD" w14:textId="77777777" w:rsidR="000D2339" w:rsidRDefault="002604F9">
      <w:pPr>
        <w:pStyle w:val="Heading2"/>
      </w:pPr>
      <w:proofErr w:type="gramStart"/>
      <w:r>
        <w:t>2.4  Pleiotropic</w:t>
      </w:r>
      <w:proofErr w:type="gramEnd"/>
      <w:r>
        <w:t xml:space="preserve"> Consequences of </w:t>
      </w:r>
      <w:proofErr w:type="spellStart"/>
      <w:r>
        <w:t>rpoB</w:t>
      </w:r>
      <w:proofErr w:type="spellEnd"/>
      <w:r>
        <w:t xml:space="preserve"> Mutations on Gene Expression</w:t>
      </w:r>
    </w:p>
    <w:p w14:paraId="2DF31BE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Because RNAP controls all transcription,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alter the expression of hundreds to thousands of genes — define the scale of pleiotropic impact</w:t>
      </w:r>
    </w:p>
    <w:p w14:paraId="628267E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(2016): first-step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restore global gene expression from the heat-stressed state toward the pre-stressed baseline — propose this as the primary mechanism of fitness benefit</w:t>
      </w:r>
    </w:p>
    <w:p w14:paraId="3FD7D8F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Key gene expression modules altered: ribosome biogenesis, heat shock genes (attenuation), ribonucleotide biosynthesis, metabolic reprogramming</w:t>
      </w:r>
    </w:p>
    <w:p w14:paraId="56AC28D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and transcription pausing/termination efficiency — altered pausing dynamics affect the coordination of transcription and translation</w:t>
      </w:r>
    </w:p>
    <w:p w14:paraId="25A8A70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 xml:space="preserve">Altered sensitivity to the </w:t>
      </w:r>
      <w:proofErr w:type="spellStart"/>
      <w:r>
        <w:rPr>
          <w:color w:val="555555"/>
        </w:rPr>
        <w:t>alarmone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ppGpp</w:t>
      </w:r>
      <w:proofErr w:type="spellEnd"/>
      <w:r>
        <w:rPr>
          <w:color w:val="555555"/>
        </w:rPr>
        <w:t xml:space="preserve"> (stringent response) — some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alleles mimic or reinforce the stringent response, affecting fitness under nutrient stress</w:t>
      </w:r>
    </w:p>
    <w:p w14:paraId="521BFA2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González-González et al. (2024): gene expression epistasis between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and rho mutations — hub genes show highest epistasis, challenging prior theoretical predictions</w:t>
      </w:r>
    </w:p>
    <w:p w14:paraId="16597342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Rodríguez-Verdugo et al. (2016); González-González et al. (2024); Conrad et al. (2010)</w:t>
      </w:r>
    </w:p>
    <w:p w14:paraId="00A75577" w14:textId="77777777" w:rsidR="000D2339" w:rsidRDefault="000D2339">
      <w:pPr>
        <w:spacing w:after="60"/>
      </w:pPr>
    </w:p>
    <w:p w14:paraId="2E866955" w14:textId="77777777" w:rsidR="000D2339" w:rsidRDefault="002604F9">
      <w:pPr>
        <w:pStyle w:val="Heading2"/>
      </w:pPr>
      <w:proofErr w:type="gramStart"/>
      <w:r>
        <w:t>2.5  Transcription</w:t>
      </w:r>
      <w:proofErr w:type="gramEnd"/>
      <w:r>
        <w:t xml:space="preserve"> Termination, Rho, and Co-evolution with </w:t>
      </w:r>
      <w:proofErr w:type="spellStart"/>
      <w:r>
        <w:t>rpoB</w:t>
      </w:r>
      <w:proofErr w:type="spellEnd"/>
    </w:p>
    <w:p w14:paraId="7583B71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Rho-dependent termination — mechanism and role in suppressing pervasive transcription and managing gene expression under stress</w:t>
      </w:r>
    </w:p>
    <w:p w14:paraId="5913270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rho and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are the two most commonly mutated genes under thermal stress in E. coli — both encode components of the transcription machinery, suggesting co-selection</w:t>
      </w:r>
    </w:p>
    <w:p w14:paraId="4ECD5F4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Functional relationship: Rho termination efficiency depends on RNAP elongation rate;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that alter elongation kinetics directly affect Rho function</w:t>
      </w:r>
    </w:p>
    <w:p w14:paraId="37CE27C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Epistatic interactions between rho and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mutations: diminishing returns epistasis at 42.2°C; sign epistasis at 20°C and 37°C</w:t>
      </w:r>
    </w:p>
    <w:p w14:paraId="7AD8BB1B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González-González et al. (2024): negative epistasis between rho and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can slow fixation — population dynamics consequences</w:t>
      </w:r>
    </w:p>
    <w:p w14:paraId="678EF564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González-González et al. (2024); Jin et al. (1988)</w:t>
      </w:r>
    </w:p>
    <w:p w14:paraId="7268DD75" w14:textId="77777777" w:rsidR="000D2339" w:rsidRDefault="000D2339">
      <w:pPr>
        <w:spacing w:after="60"/>
      </w:pPr>
    </w:p>
    <w:p w14:paraId="3C04D36E" w14:textId="77777777" w:rsidR="000D2339" w:rsidRDefault="002604F9">
      <w:pPr>
        <w:pStyle w:val="Heading1"/>
        <w:pBdr>
          <w:bottom w:val="single" w:sz="6" w:space="6" w:color="1F3864"/>
        </w:pBdr>
      </w:pPr>
      <w:r>
        <w:t>3.  Temperature as a Driver of Bacterial Fitness and Adaptive Evolution</w:t>
      </w:r>
    </w:p>
    <w:p w14:paraId="202FFB9A" w14:textId="77777777" w:rsidR="000D2339" w:rsidRDefault="002604F9">
      <w:pPr>
        <w:pStyle w:val="Heading2"/>
      </w:pPr>
      <w:proofErr w:type="gramStart"/>
      <w:r>
        <w:t>3.1  Physiological</w:t>
      </w:r>
      <w:proofErr w:type="gramEnd"/>
      <w:r>
        <w:t xml:space="preserve"> Responses to Thermal Stress in E. coli</w:t>
      </w:r>
    </w:p>
    <w:p w14:paraId="6BD4183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Optimal growth at 37°C; physiological effects of sub-optimal (≤20°C) and supra-optimal (≥42°C) temperatures</w:t>
      </w:r>
    </w:p>
    <w:p w14:paraId="42B1C495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Heat shock response: σ³² induction, chaperone upregulation (</w:t>
      </w:r>
      <w:proofErr w:type="spellStart"/>
      <w:r>
        <w:rPr>
          <w:color w:val="555555"/>
        </w:rPr>
        <w:t>DnaK</w:t>
      </w:r>
      <w:proofErr w:type="spellEnd"/>
      <w:r>
        <w:rPr>
          <w:color w:val="555555"/>
        </w:rPr>
        <w:t xml:space="preserve">/J, </w:t>
      </w:r>
      <w:proofErr w:type="spellStart"/>
      <w:r>
        <w:rPr>
          <w:color w:val="555555"/>
        </w:rPr>
        <w:t>GroEL</w:t>
      </w:r>
      <w:proofErr w:type="spellEnd"/>
      <w:r>
        <w:rPr>
          <w:color w:val="555555"/>
        </w:rPr>
        <w:t xml:space="preserve">/ES), protease activation (Lon, </w:t>
      </w:r>
      <w:proofErr w:type="spellStart"/>
      <w:r>
        <w:rPr>
          <w:color w:val="555555"/>
        </w:rPr>
        <w:t>ClpB</w:t>
      </w:r>
      <w:proofErr w:type="spellEnd"/>
      <w:r>
        <w:rPr>
          <w:color w:val="555555"/>
        </w:rPr>
        <w:t>)</w:t>
      </w:r>
    </w:p>
    <w:p w14:paraId="38CF506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Cold shock response: altered membrane fatty acid composition, cold shock proteins (</w:t>
      </w:r>
      <w:proofErr w:type="spellStart"/>
      <w:r>
        <w:rPr>
          <w:color w:val="555555"/>
        </w:rPr>
        <w:t>CspA</w:t>
      </w:r>
      <w:proofErr w:type="spellEnd"/>
      <w:r>
        <w:rPr>
          <w:color w:val="555555"/>
        </w:rPr>
        <w:t xml:space="preserve"> family), ribosome adaptation</w:t>
      </w:r>
    </w:p>
    <w:p w14:paraId="044D970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The stringent response at high temperature: (p)</w:t>
      </w:r>
      <w:proofErr w:type="spellStart"/>
      <w:r>
        <w:rPr>
          <w:color w:val="555555"/>
        </w:rPr>
        <w:t>ppGpp</w:t>
      </w:r>
      <w:proofErr w:type="spellEnd"/>
      <w:r>
        <w:rPr>
          <w:color w:val="555555"/>
        </w:rPr>
        <w:t xml:space="preserve"> accumulation, RNAP reprogram, growth arrest — link directly to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function</w:t>
      </w:r>
    </w:p>
    <w:p w14:paraId="2FA7C62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Membrane fluidity changes at different temperatures — fatty acid unsaturation as an adaptive mechanism; relevant to Fan et al. (2024) Z625 strain</w:t>
      </w:r>
    </w:p>
    <w:p w14:paraId="526A95F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>DNA supercoiling changes with temperature — indirect effect on RNAP promoter binding and gene expression</w:t>
      </w:r>
    </w:p>
    <w:p w14:paraId="5E0935D2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Jiao et al. (2024); Kelly et al. (2025); Fan et al. (2024)</w:t>
      </w:r>
    </w:p>
    <w:p w14:paraId="22629F7E" w14:textId="77777777" w:rsidR="000D2339" w:rsidRDefault="000D2339">
      <w:pPr>
        <w:spacing w:after="60"/>
      </w:pPr>
    </w:p>
    <w:p w14:paraId="3C8D7552" w14:textId="77777777" w:rsidR="000D2339" w:rsidRDefault="002604F9">
      <w:pPr>
        <w:pStyle w:val="Heading2"/>
      </w:pPr>
      <w:proofErr w:type="gramStart"/>
      <w:r>
        <w:t>3.2  Thermal</w:t>
      </w:r>
      <w:proofErr w:type="gramEnd"/>
      <w:r>
        <w:t xml:space="preserve"> Adaptation in Experimental Evolution</w:t>
      </w:r>
    </w:p>
    <w:p w14:paraId="19DAAEB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The Bennett/Lenski thermal evolution experiments — populations evolved at 42.2°C for thousands of generations; establish the experimental framework</w:t>
      </w:r>
    </w:p>
    <w:p w14:paraId="756E94B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Tenaillon et al. (2012) in </w:t>
      </w:r>
      <w:proofErr w:type="gramStart"/>
      <w:r>
        <w:rPr>
          <w:color w:val="555555"/>
        </w:rPr>
        <w:t>Science</w:t>
      </w:r>
      <w:proofErr w:type="gramEnd"/>
      <w:r>
        <w:rPr>
          <w:color w:val="555555"/>
        </w:rPr>
        <w:t xml:space="preserve">: 115 populations, 2,000 generations, molecular diversity of adaptive convergence —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and rho as primary targets</w:t>
      </w:r>
    </w:p>
    <w:p w14:paraId="2E4B838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(2013): 114 populations, emergence of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without antibiotic exposure; resistance as a by-product of thermal adaptation</w:t>
      </w:r>
    </w:p>
    <w:p w14:paraId="2201861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Hug &amp; Gaut (2015): phenotypic signature of thermal adaptation — diversity of trajectories despite convergent genetic targets</w:t>
      </w:r>
    </w:p>
    <w:p w14:paraId="2F830FF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Batarseh et al. (2023): contingency on genetic background — thermal adaptation outcomes depend on the ancestral genotype</w:t>
      </w:r>
    </w:p>
    <w:p w14:paraId="5207E26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(2014): different </w:t>
      </w:r>
      <w:proofErr w:type="spellStart"/>
      <w:r>
        <w:rPr>
          <w:color w:val="555555"/>
        </w:rPr>
        <w:t>tradeoffs</w:t>
      </w:r>
      <w:proofErr w:type="spellEnd"/>
      <w:r>
        <w:rPr>
          <w:color w:val="555555"/>
        </w:rPr>
        <w:t xml:space="preserve"> from alternate genetic adaptations — multiple genetic solutions to the same thermal challenge carry distinct costs in other environments</w:t>
      </w:r>
    </w:p>
    <w:p w14:paraId="138640D3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Tenaillon et al. (2012); Rodríguez-Verdugo et al. (2013, 2014); Hug &amp; Gaut (2015); Batarseh et al. (2023)</w:t>
      </w:r>
    </w:p>
    <w:p w14:paraId="20718E3C" w14:textId="77777777" w:rsidR="000D2339" w:rsidRDefault="000D2339">
      <w:pPr>
        <w:spacing w:after="60"/>
      </w:pPr>
    </w:p>
    <w:p w14:paraId="3F6A5463" w14:textId="77777777" w:rsidR="000D2339" w:rsidRDefault="002604F9">
      <w:pPr>
        <w:pStyle w:val="Heading2"/>
      </w:pPr>
      <w:proofErr w:type="gramStart"/>
      <w:r>
        <w:t>3.3  Fitness</w:t>
      </w:r>
      <w:proofErr w:type="gramEnd"/>
      <w:r>
        <w:t xml:space="preserve"> Landscape Theory and Genotype-by-Environment Interactions</w:t>
      </w:r>
    </w:p>
    <w:p w14:paraId="6D34237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Fisher's geometrical model — mutations beneficial near one fitness optimum become deleterious as the environment shifts the optimum; theoretical foundation for temperature-dependent fitness costs</w:t>
      </w:r>
    </w:p>
    <w:p w14:paraId="044193B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Martin &amp; Lenormand (2015): fitness effects across environments with multiple optima — predict that large-effect mutations in one environment are often costly in others</w:t>
      </w:r>
    </w:p>
    <w:p w14:paraId="62CC237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Empirical fitness landscapes and their ruggedness — epistasis as the cause of landscape ruggedness; accessible vs. inaccessible adaptive pathways</w:t>
      </w:r>
    </w:p>
    <w:p w14:paraId="4C78E26C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G×E interactions: define formally; distinguish from pleiotropy; explain why they matter for predicting resistance persistence</w:t>
      </w:r>
    </w:p>
    <w:p w14:paraId="5493156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color w:val="555555"/>
        </w:rPr>
        <w:t>Ogbunugafor</w:t>
      </w:r>
      <w:proofErr w:type="spellEnd"/>
      <w:r>
        <w:rPr>
          <w:color w:val="555555"/>
        </w:rPr>
        <w:t xml:space="preserve"> et al. (2016): adaptive landscape × environment interactions; IC₅₀ and MIC as imperfect proxies for evolutionary outcome</w:t>
      </w:r>
    </w:p>
    <w:p w14:paraId="29AA391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De Visser &amp; Krug (2014): empirical fitness landscapes and evolutionary predictability — set up the question of whether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evolution is predictable</w:t>
      </w:r>
    </w:p>
    <w:p w14:paraId="025DD5B2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lastRenderedPageBreak/>
        <w:t xml:space="preserve">Key refs: Martin &amp; Lenormand (2015); De Visser &amp; Krug (2014); </w:t>
      </w:r>
      <w:proofErr w:type="spellStart"/>
      <w:r>
        <w:rPr>
          <w:i/>
          <w:iCs/>
          <w:color w:val="888888"/>
          <w:sz w:val="20"/>
          <w:szCs w:val="20"/>
        </w:rPr>
        <w:t>Ogbunugafor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(2016); Trindade et al. (2012)</w:t>
      </w:r>
    </w:p>
    <w:p w14:paraId="64DBBE11" w14:textId="77777777" w:rsidR="000D2339" w:rsidRDefault="000D2339">
      <w:pPr>
        <w:spacing w:after="60"/>
      </w:pPr>
    </w:p>
    <w:p w14:paraId="5D17790E" w14:textId="77777777" w:rsidR="000D2339" w:rsidRDefault="002604F9">
      <w:pPr>
        <w:pStyle w:val="Heading2"/>
      </w:pPr>
      <w:proofErr w:type="gramStart"/>
      <w:r>
        <w:t>3.4  Cross</w:t>
      </w:r>
      <w:proofErr w:type="gramEnd"/>
      <w:r>
        <w:t>-Stress Responses: Temperature and Antibiotic Resistance as Linked Phenomena</w:t>
      </w:r>
    </w:p>
    <w:p w14:paraId="688BE7A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Cruz-Loya et al. (2019): stressor interaction networks — high-temperature stress responses and antibiotic resistance are clustered together in phenotypic space; antibiotic resistance co-opted from thermal stress machinery</w:t>
      </w:r>
    </w:p>
    <w:p w14:paraId="5A41C14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color w:val="555555"/>
        </w:rPr>
        <w:t>Dragosits</w:t>
      </w:r>
      <w:proofErr w:type="spellEnd"/>
      <w:r>
        <w:rPr>
          <w:color w:val="555555"/>
        </w:rPr>
        <w:t xml:space="preserve"> et al. (2013): cross-stress resistance in E. coli — strains evolved under one stressor gain resistance to others; shared transcriptional regulators underlie cross-protection</w:t>
      </w:r>
    </w:p>
    <w:p w14:paraId="27A0F765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Bullivant et al. (2024): thermal evolution directly alters antibiotic resistance profiles across multiple drug classes</w:t>
      </w:r>
    </w:p>
    <w:p w14:paraId="653FAA6B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Rodríguez-Verdugo et al. (2020): climate warming and antibiotic resistance — rising environmental temperatures may increase the frequency of thermal-stress-selected resistance mutations in nature</w:t>
      </w:r>
    </w:p>
    <w:p w14:paraId="5679A4B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Implications for interpreting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fitness experiments: temperature is not simply a 'condition' but an active co-selector of the resistance phenotype</w:t>
      </w:r>
    </w:p>
    <w:p w14:paraId="13B0ABCB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Cruz-Loya et al. (2019); </w:t>
      </w:r>
      <w:proofErr w:type="spellStart"/>
      <w:r>
        <w:rPr>
          <w:i/>
          <w:iCs/>
          <w:color w:val="888888"/>
          <w:sz w:val="20"/>
          <w:szCs w:val="20"/>
        </w:rPr>
        <w:t>Dragosits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(2013); Bullivant et al. (2024); Rodríguez-Verdugo et al. (2020)</w:t>
      </w:r>
    </w:p>
    <w:p w14:paraId="7BBB3DC5" w14:textId="77777777" w:rsidR="000D2339" w:rsidRDefault="000D2339">
      <w:pPr>
        <w:spacing w:after="60"/>
      </w:pPr>
    </w:p>
    <w:p w14:paraId="593DA327" w14:textId="77777777" w:rsidR="000D2339" w:rsidRDefault="002604F9">
      <w:pPr>
        <w:pStyle w:val="Heading1"/>
        <w:pBdr>
          <w:bottom w:val="single" w:sz="6" w:space="6" w:color="1F3864"/>
        </w:pBdr>
      </w:pPr>
      <w:r>
        <w:t xml:space="preserve">4.  Fitness Costs, Benefits, and Environmental Contingency of </w:t>
      </w:r>
      <w:proofErr w:type="spellStart"/>
      <w:r>
        <w:t>rpoB</w:t>
      </w:r>
      <w:proofErr w:type="spellEnd"/>
      <w:r>
        <w:t xml:space="preserve"> Mutations</w:t>
      </w:r>
    </w:p>
    <w:p w14:paraId="2CA90149" w14:textId="77777777" w:rsidR="000D2339" w:rsidRDefault="002604F9">
      <w:pPr>
        <w:pStyle w:val="Heading2"/>
      </w:pPr>
      <w:proofErr w:type="gramStart"/>
      <w:r>
        <w:t>4.1  The</w:t>
      </w:r>
      <w:proofErr w:type="gramEnd"/>
      <w:r>
        <w:t xml:space="preserve"> Traditional Cost-of-Resistance Paradigm and Its Challenges</w:t>
      </w:r>
    </w:p>
    <w:p w14:paraId="6AA3197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Classical expectation: rifampicin resistance mutations impose a fitness cost in antibiotic-free environments — sensitive cells outcompete resistant ones once drug is removed</w:t>
      </w:r>
    </w:p>
    <w:p w14:paraId="0E15FE0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Evidence for fitness costs at standard conditions (37°C) — early studies showing reduced growth rates and competitive disadvantage of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mutants</w:t>
      </w:r>
    </w:p>
    <w:p w14:paraId="7CBEDA55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(2013): directly challenge this paradigm —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strongly beneficial at 42.2°C without any antibiotic exposure; frame as the central conceptual challenge</w:t>
      </w:r>
    </w:p>
    <w:p w14:paraId="40CAEAE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Goldstein (2014) review: summarise the spectrum of fitness phenotypes — not all resistance mutations are costly; depends on mutation identity and environment</w:t>
      </w:r>
    </w:p>
    <w:p w14:paraId="43A1D19E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Goldstein (2014); Reynolds (2000); Rodríguez-Verdugo et al. (2013)</w:t>
      </w:r>
    </w:p>
    <w:p w14:paraId="31F37B5B" w14:textId="77777777" w:rsidR="000D2339" w:rsidRDefault="000D2339">
      <w:pPr>
        <w:spacing w:after="60"/>
      </w:pPr>
    </w:p>
    <w:p w14:paraId="64D02D8B" w14:textId="77777777" w:rsidR="000D2339" w:rsidRDefault="002604F9">
      <w:pPr>
        <w:pStyle w:val="Heading2"/>
      </w:pPr>
      <w:proofErr w:type="gramStart"/>
      <w:r>
        <w:lastRenderedPageBreak/>
        <w:t>4.2  Fitness</w:t>
      </w:r>
      <w:proofErr w:type="gramEnd"/>
      <w:r>
        <w:t xml:space="preserve"> Effects of Specific </w:t>
      </w:r>
      <w:proofErr w:type="spellStart"/>
      <w:r>
        <w:t>rpoB</w:t>
      </w:r>
      <w:proofErr w:type="spellEnd"/>
      <w:r>
        <w:t xml:space="preserve"> Alleles Across Environments</w:t>
      </w:r>
    </w:p>
    <w:p w14:paraId="2170256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Codon 572 mutations (I572N, I572L, I572F): +18–25% fitness at 42.2°C + low glucose; neutral to deleterious at 37°C — the signature result</w:t>
      </w:r>
    </w:p>
    <w:p w14:paraId="6656EC0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Cluster I mutations (516, 522): temperature-sensitive growth at high temperature — deleterious at 42.2°C</w:t>
      </w:r>
    </w:p>
    <w:p w14:paraId="2FAAAB8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Cluster II mutations (531, 532): variable fitness profiles; often show less pronounced temperature-dependence than codon 572 mutations</w:t>
      </w:r>
    </w:p>
    <w:p w14:paraId="4184319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Importance of allele identity — not all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resistance mutations behave the same way; need to characterise the full allelic spectrum</w:t>
      </w:r>
    </w:p>
    <w:p w14:paraId="076F40E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Gifford et al. (2016) in Pseudomonas aeruginosa: environmental variation alters rifampicin resistance fitness effects — cross-species validation of G×E interactions</w:t>
      </w:r>
    </w:p>
    <w:p w14:paraId="5218B51B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Clarke et al. (2020): environmental heterogeneity shapes variance as well as mean fitness effects — heterogeneous environments favour some alleles over others</w:t>
      </w:r>
    </w:p>
    <w:p w14:paraId="18E89D96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Rodríguez-Verdugo et al. (2013); Jin &amp; Gross (1989); Gifford et al. (2016); Clarke et al. (2020)</w:t>
      </w:r>
    </w:p>
    <w:p w14:paraId="2EF22FA0" w14:textId="77777777" w:rsidR="000D2339" w:rsidRDefault="000D2339">
      <w:pPr>
        <w:spacing w:after="60"/>
      </w:pPr>
    </w:p>
    <w:p w14:paraId="1C19E671" w14:textId="77777777" w:rsidR="000D2339" w:rsidRDefault="002604F9">
      <w:pPr>
        <w:pStyle w:val="Heading2"/>
      </w:pPr>
      <w:proofErr w:type="gramStart"/>
      <w:r>
        <w:t>4.3  The</w:t>
      </w:r>
      <w:proofErr w:type="gramEnd"/>
      <w:r>
        <w:t xml:space="preserve"> Role of Nutrient Availability as a Co-variable with Temperature</w:t>
      </w:r>
    </w:p>
    <w:p w14:paraId="28AA444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The critical interaction: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codon 572 mutations are beneficial at 42.2°C + LOW glucose (DM25); neutral at 42.2°C + HIGH glucose — temperature alone is insufficient</w:t>
      </w:r>
    </w:p>
    <w:p w14:paraId="270B5A9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Mechanistic explanation: low glucose induces the stringent response;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that mimic or reinforce </w:t>
      </w:r>
      <w:proofErr w:type="spellStart"/>
      <w:r>
        <w:rPr>
          <w:color w:val="555555"/>
        </w:rPr>
        <w:t>ppGpp</w:t>
      </w:r>
      <w:proofErr w:type="spellEnd"/>
      <w:r>
        <w:rPr>
          <w:color w:val="555555"/>
        </w:rPr>
        <w:t xml:space="preserve"> signalling are advantageous; at high glucose the stringent response is not engaged</w:t>
      </w:r>
    </w:p>
    <w:p w14:paraId="799E850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Venkataraman et al. (2024): convergent adaptation in minimal media leads to pleiotropic divergence — parallel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evolution under nutrient stress</w:t>
      </w:r>
    </w:p>
    <w:p w14:paraId="51615BC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Conrad et al. (2010):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selected in minimal media reprogram E. coli for optimal growth — nutrient environment shapes which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alleles are adaptive</w:t>
      </w:r>
    </w:p>
    <w:p w14:paraId="1F0A575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Maharjan &amp; </w:t>
      </w:r>
      <w:proofErr w:type="spellStart"/>
      <w:r>
        <w:rPr>
          <w:color w:val="555555"/>
        </w:rPr>
        <w:t>Ferenci</w:t>
      </w:r>
      <w:proofErr w:type="spellEnd"/>
      <w:r>
        <w:rPr>
          <w:color w:val="555555"/>
        </w:rPr>
        <w:t xml:space="preserve"> (2017): fitness costs and benefits of resistance in drug-free microenvironments resembling the human body — nutrient heterogeneity modulates resistance fitness in clinically relevant settings</w:t>
      </w:r>
    </w:p>
    <w:p w14:paraId="6AC50548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Rodríguez-Verdugo et al. (2013); Conrad et al. (2010); Maharjan &amp; </w:t>
      </w:r>
      <w:proofErr w:type="spellStart"/>
      <w:r>
        <w:rPr>
          <w:i/>
          <w:iCs/>
          <w:color w:val="888888"/>
          <w:sz w:val="20"/>
          <w:szCs w:val="20"/>
        </w:rPr>
        <w:t>Ferenci</w:t>
      </w:r>
      <w:proofErr w:type="spellEnd"/>
      <w:r>
        <w:rPr>
          <w:i/>
          <w:iCs/>
          <w:color w:val="888888"/>
          <w:sz w:val="20"/>
          <w:szCs w:val="20"/>
        </w:rPr>
        <w:t xml:space="preserve"> (2017); Venkataraman et al. (2024)</w:t>
      </w:r>
    </w:p>
    <w:p w14:paraId="23689E35" w14:textId="77777777" w:rsidR="000D2339" w:rsidRDefault="000D2339">
      <w:pPr>
        <w:spacing w:after="60"/>
      </w:pPr>
    </w:p>
    <w:p w14:paraId="7F8A2540" w14:textId="77777777" w:rsidR="000D2339" w:rsidRDefault="002604F9">
      <w:pPr>
        <w:pStyle w:val="Heading2"/>
      </w:pPr>
      <w:proofErr w:type="gramStart"/>
      <w:r>
        <w:t>4.4  Genotype</w:t>
      </w:r>
      <w:proofErr w:type="gramEnd"/>
      <w:r>
        <w:t>-by-Genotype Epistasis: Genetic Background Effects</w:t>
      </w:r>
    </w:p>
    <w:p w14:paraId="71C40BD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(2013):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codon 572 mutations beneficial in E. coli B (REL606/REL1206) but deleterious or lethal in E. coli K-12 MG1655 — same mutation, opposite fitness consequence in different genetic backgrounds</w:t>
      </w:r>
    </w:p>
    <w:p w14:paraId="090675F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>Williams et al. (unpublished): strong G×G and G×E interactions induced by antibiotic resistance mutations — resistance mutations are embedded in epistatic networks, not acting in isolation</w:t>
      </w:r>
    </w:p>
    <w:p w14:paraId="57E9711B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González-González et al. (2024): fitness epistasis between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and rho double mutants — diminishing returns at 42.2°C, sign epistasis across temperatures</w:t>
      </w:r>
    </w:p>
    <w:p w14:paraId="31A4FED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Batarseh et al. (2023): genetic background determines both the rate and phenotypic outcome of thermal adaptation — background effects on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 fitness are real and substantial</w:t>
      </w:r>
    </w:p>
    <w:p w14:paraId="21D226E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Implications for predicting resistance persistence: fitness costs/benefits cannot be generalised from one strain to another without empirical measurement</w:t>
      </w:r>
    </w:p>
    <w:p w14:paraId="162B0B64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Rodríguez-Verdugo et al. (2013); González-González et al. (2024); Williams et al.; Batarseh et al. (2023)</w:t>
      </w:r>
    </w:p>
    <w:p w14:paraId="0C60B9E6" w14:textId="77777777" w:rsidR="000D2339" w:rsidRDefault="000D2339">
      <w:pPr>
        <w:spacing w:after="60"/>
      </w:pPr>
    </w:p>
    <w:p w14:paraId="75C8535D" w14:textId="77777777" w:rsidR="000D2339" w:rsidRDefault="002604F9">
      <w:pPr>
        <w:pStyle w:val="Heading2"/>
      </w:pPr>
      <w:proofErr w:type="gramStart"/>
      <w:r>
        <w:t>4.5  Compensatory</w:t>
      </w:r>
      <w:proofErr w:type="gramEnd"/>
      <w:r>
        <w:t xml:space="preserve"> Mutations and the Amelioration of Resistance Costs</w:t>
      </w:r>
    </w:p>
    <w:p w14:paraId="21331A7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Define compensatory evolution: secondary mutations that restore fitness without reverting the primary resistance mutation</w:t>
      </w:r>
    </w:p>
    <w:p w14:paraId="4089F3B5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Reynolds (2000): compensatory evolution in </w:t>
      </w:r>
      <w:proofErr w:type="spellStart"/>
      <w:r>
        <w:rPr>
          <w:color w:val="555555"/>
        </w:rPr>
        <w:t>rifampin</w:t>
      </w:r>
      <w:proofErr w:type="spellEnd"/>
      <w:r>
        <w:rPr>
          <w:color w:val="555555"/>
        </w:rPr>
        <w:t xml:space="preserve">-resistant E. coli — secondary mutations at </w:t>
      </w:r>
      <w:proofErr w:type="spellStart"/>
      <w:r>
        <w:rPr>
          <w:color w:val="555555"/>
        </w:rPr>
        <w:t>rpoA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rpoC</w:t>
      </w:r>
      <w:proofErr w:type="spellEnd"/>
      <w:r>
        <w:rPr>
          <w:color w:val="555555"/>
        </w:rPr>
        <w:t xml:space="preserve">, and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itself that restore growth rate</w:t>
      </w:r>
    </w:p>
    <w:p w14:paraId="0757495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Comas et al. (2012): compensatory mutations in Mycobacterium tuberculosis </w:t>
      </w:r>
      <w:proofErr w:type="spellStart"/>
      <w:r>
        <w:rPr>
          <w:color w:val="555555"/>
        </w:rPr>
        <w:t>rpoA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rpoC</w:t>
      </w:r>
      <w:proofErr w:type="spellEnd"/>
      <w:r>
        <w:rPr>
          <w:color w:val="555555"/>
        </w:rPr>
        <w:t xml:space="preserve"> following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resistance mutations — clinical relevance for TB treatment failure</w:t>
      </w:r>
    </w:p>
    <w:p w14:paraId="3AA629C3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Kinetics of compensatory evolution — how quickly do compensatory mutations arise? Is the rate temperature-dependent?</w:t>
      </w:r>
    </w:p>
    <w:p w14:paraId="139CE16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(2013): background mutations acquired after the initial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 increase fitness without substantially altering gene expression — suggest fitness gains beyond the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step are mechanistically distinct</w:t>
      </w:r>
    </w:p>
    <w:p w14:paraId="0480E64C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Implication for stewardship: if compensatory mutations arise rapidly (especially at higher temperatures), resistance may be stably maintained even after antibiotic withdrawal</w:t>
      </w:r>
    </w:p>
    <w:p w14:paraId="600FA0F6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Reynolds (2000); Comas et al. (2012); Rodríguez-Verdugo et al. (2013, 2016)</w:t>
      </w:r>
    </w:p>
    <w:p w14:paraId="529EF5C7" w14:textId="77777777" w:rsidR="000D2339" w:rsidRDefault="000D2339">
      <w:pPr>
        <w:spacing w:after="60"/>
      </w:pPr>
    </w:p>
    <w:p w14:paraId="3747A929" w14:textId="77777777" w:rsidR="000D2339" w:rsidRDefault="002604F9">
      <w:pPr>
        <w:pStyle w:val="Heading2"/>
      </w:pPr>
      <w:proofErr w:type="gramStart"/>
      <w:r>
        <w:t>4.6  Measuring</w:t>
      </w:r>
      <w:proofErr w:type="gramEnd"/>
      <w:r>
        <w:t xml:space="preserve"> Fitness: Methodological Considerations</w:t>
      </w:r>
    </w:p>
    <w:p w14:paraId="533169E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Competition assays (the gold standard): mixed culture of focal strain vs. marked reference; calculate relative fitness from change in frequency over time — discuss marker choice, assay duration, and temperature consistency</w:t>
      </w:r>
    </w:p>
    <w:p w14:paraId="29B7AA5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Growth rate / maximum growth rate (</w:t>
      </w:r>
      <w:proofErr w:type="spellStart"/>
      <w:r>
        <w:rPr>
          <w:color w:val="555555"/>
        </w:rPr>
        <w:t>μmax</w:t>
      </w:r>
      <w:proofErr w:type="spellEnd"/>
      <w:r>
        <w:rPr>
          <w:color w:val="555555"/>
        </w:rPr>
        <w:t>): simpler but misses competitive dynamics; appropriate for single-environment comparisons, not for G×E studies</w:t>
      </w:r>
    </w:p>
    <w:p w14:paraId="060F9285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>Minimum inhibitory concentration (MIC): measures resistance level, not fitness; important for characterising the resistance phenotype but not a proxy for competitive ability</w:t>
      </w:r>
    </w:p>
    <w:p w14:paraId="1E74BEE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Thermal performance curves: measure fitness (or growth rate) as a continuous function of temperature — needed to generate a complete thermal fitness landscape; currently absent for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mutants</w:t>
      </w:r>
    </w:p>
    <w:p w14:paraId="7FCC5B7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Batch culture vs. chemostat: batch culture (as used in LTEE and thermal evolution experiments) imposes feast-famine cycles; chemostat imposes constant nutrient limitation — choice affects which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alleles are beneficial</w:t>
      </w:r>
    </w:p>
    <w:p w14:paraId="5DDCC86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Replication and statistical power: G×E interaction effects require large designs; discuss power considerations for detecting temperature-specific fitness differences</w:t>
      </w:r>
    </w:p>
    <w:p w14:paraId="7A001244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Rodríguez-Verdugo et al. (2013); </w:t>
      </w:r>
      <w:proofErr w:type="spellStart"/>
      <w:r>
        <w:rPr>
          <w:i/>
          <w:iCs/>
          <w:color w:val="888888"/>
          <w:sz w:val="20"/>
          <w:szCs w:val="20"/>
        </w:rPr>
        <w:t>Bataillon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(2011); Hall (2013)</w:t>
      </w:r>
    </w:p>
    <w:p w14:paraId="6FC9C385" w14:textId="77777777" w:rsidR="000D2339" w:rsidRDefault="000D2339">
      <w:pPr>
        <w:spacing w:after="60"/>
      </w:pPr>
    </w:p>
    <w:p w14:paraId="2A5EB93B" w14:textId="77777777" w:rsidR="000D2339" w:rsidRDefault="002604F9">
      <w:pPr>
        <w:pStyle w:val="Heading2"/>
      </w:pPr>
      <w:proofErr w:type="gramStart"/>
      <w:r>
        <w:t>4.7  Population</w:t>
      </w:r>
      <w:proofErr w:type="gramEnd"/>
      <w:r>
        <w:t xml:space="preserve"> Dynamics: Clonal Interference and Fixation of </w:t>
      </w:r>
      <w:proofErr w:type="spellStart"/>
      <w:r>
        <w:t>rpoB</w:t>
      </w:r>
      <w:proofErr w:type="spellEnd"/>
      <w:r>
        <w:t xml:space="preserve"> Mutations</w:t>
      </w:r>
    </w:p>
    <w:p w14:paraId="0EF4E64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Clonal interference: in asexual populations, multiple beneficial mutations compete simultaneously, slowing the fixation of any single one — relevant to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fixation dynamics in thermal evolution experiments</w:t>
      </w:r>
    </w:p>
    <w:p w14:paraId="6432DD1A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(2013):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typically appeared within the first 500 generations and fixed in 10/12 populations — early appearance and rapid fixation indicate very strong selection</w:t>
      </w:r>
    </w:p>
    <w:p w14:paraId="0E5907D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Tenaillon et al. (2012): parallel fixation of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across 115 populations — strong signal of positive selection, not drift</w:t>
      </w:r>
    </w:p>
    <w:p w14:paraId="088E6AF9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Timing of mutation appearance influences fixation speed: earlier-appearing mutations fix faster, consistent with clonal interference dynamics</w:t>
      </w:r>
    </w:p>
    <w:p w14:paraId="5AAA77D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Negative epistasis between rho and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(González-González et al. 2024) can retard fixation of both mutations — population-level consequence of molecular epistasis</w:t>
      </w:r>
    </w:p>
    <w:p w14:paraId="58C48BC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Ecological specialisation from a single mutation: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codon 572 mutations are beneficial in one niche and deleterious in others — implications for niche partitioning and diversification</w:t>
      </w:r>
    </w:p>
    <w:p w14:paraId="07346516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Rodríguez-Verdugo et al. (2013); Tenaillon et al. (2012); González-González et al. (2024)</w:t>
      </w:r>
    </w:p>
    <w:p w14:paraId="0016AB27" w14:textId="77777777" w:rsidR="000D2339" w:rsidRDefault="000D2339">
      <w:pPr>
        <w:spacing w:after="60"/>
      </w:pPr>
    </w:p>
    <w:p w14:paraId="00B0A674" w14:textId="77777777" w:rsidR="000D2339" w:rsidRDefault="002604F9">
      <w:pPr>
        <w:pStyle w:val="Heading1"/>
        <w:pBdr>
          <w:bottom w:val="single" w:sz="6" w:space="6" w:color="1F3864"/>
        </w:pBdr>
      </w:pPr>
      <w:r>
        <w:t>5.  Beyond E. coli: Comparative and Clinical Perspectives</w:t>
      </w:r>
    </w:p>
    <w:p w14:paraId="13EE54DC" w14:textId="77777777" w:rsidR="000D2339" w:rsidRDefault="002604F9">
      <w:pPr>
        <w:pStyle w:val="Heading2"/>
      </w:pPr>
      <w:proofErr w:type="gramStart"/>
      <w:r>
        <w:t xml:space="preserve">5.1  </w:t>
      </w:r>
      <w:proofErr w:type="spellStart"/>
      <w:r>
        <w:t>rpoB</w:t>
      </w:r>
      <w:proofErr w:type="spellEnd"/>
      <w:proofErr w:type="gramEnd"/>
      <w:r>
        <w:t xml:space="preserve"> Fitness Effects in Other Bacterial Species</w:t>
      </w:r>
    </w:p>
    <w:p w14:paraId="393A3D3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>Pseudomonas aeruginosa: Gifford et al. (2016) — rifampicin resistance fitness effects change with carbon source and medium; validate E. coli findings in a clinically important pathogen</w:t>
      </w:r>
    </w:p>
    <w:p w14:paraId="0A4AC82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Mycobacterium tuberculosis: Comas et al. (2012) — compensatory mutations in </w:t>
      </w:r>
      <w:proofErr w:type="spellStart"/>
      <w:r>
        <w:rPr>
          <w:color w:val="555555"/>
        </w:rPr>
        <w:t>rpoA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rpoC</w:t>
      </w:r>
      <w:proofErr w:type="spellEnd"/>
      <w:r>
        <w:rPr>
          <w:color w:val="555555"/>
        </w:rPr>
        <w:t xml:space="preserve"> following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resistance; different host-association context but shared RRDR biology</w:t>
      </w:r>
    </w:p>
    <w:p w14:paraId="71ED2A4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Bacillus subtilis: Moeller et al. (2012) —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alleles alter spore heat resistance; temperature-sensitivity of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extends to sporulating Firmicutes</w:t>
      </w:r>
    </w:p>
    <w:p w14:paraId="327BC2C8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color w:val="555555"/>
        </w:rPr>
        <w:t>Bolourchi</w:t>
      </w:r>
      <w:proofErr w:type="spellEnd"/>
      <w:r>
        <w:rPr>
          <w:color w:val="555555"/>
        </w:rPr>
        <w:t xml:space="preserve"> et al. (2024): pan-bacterial analysis — RRDR conservation, mutation spectrum hotspots, and evolvability across the bacterial tree of life</w:t>
      </w:r>
    </w:p>
    <w:p w14:paraId="50EC362A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Cross-species synthesis: what is conserved vs. lineage-specific about the temperature-dependence of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fitness?</w:t>
      </w:r>
    </w:p>
    <w:p w14:paraId="10E6DC5A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Gifford et al. (2016); Comas et al. (2012); Moeller et al. (2012); </w:t>
      </w:r>
      <w:proofErr w:type="spellStart"/>
      <w:r>
        <w:rPr>
          <w:i/>
          <w:iCs/>
          <w:color w:val="888888"/>
          <w:sz w:val="20"/>
          <w:szCs w:val="20"/>
        </w:rPr>
        <w:t>Bolourchi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(2024)</w:t>
      </w:r>
    </w:p>
    <w:p w14:paraId="03A01C2D" w14:textId="77777777" w:rsidR="000D2339" w:rsidRDefault="000D2339">
      <w:pPr>
        <w:spacing w:after="60"/>
      </w:pPr>
    </w:p>
    <w:p w14:paraId="306595A8" w14:textId="77777777" w:rsidR="000D2339" w:rsidRDefault="002604F9">
      <w:pPr>
        <w:pStyle w:val="Heading2"/>
      </w:pPr>
      <w:proofErr w:type="gramStart"/>
      <w:r>
        <w:t>5.2  Clinical</w:t>
      </w:r>
      <w:proofErr w:type="gramEnd"/>
      <w:r>
        <w:t xml:space="preserve"> and Environmental Evidence for Non-Antibiotic Selection of Rifampicin Resistance</w:t>
      </w:r>
    </w:p>
    <w:p w14:paraId="442B276C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Evidence that rifampicin resistance arises in clinical settings without direct rifampicin use — cross-resistance from other selective pressures</w:t>
      </w:r>
    </w:p>
    <w:p w14:paraId="46942876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Environmental reservoirs of rifampicin resistance — soil bacteria, water systems, wildlife; potential for temperature-driven selection in warming environments</w:t>
      </w:r>
    </w:p>
    <w:p w14:paraId="3CE1029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Rodríguez-Verdugo et al. (2020): climate warming as a driver of antibiotic resistance — rising temperatures may increase selection for thermally beneficial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mutations in nature</w:t>
      </w:r>
    </w:p>
    <w:p w14:paraId="1F2E59B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Implications for stewardship: if resistance emerges without antibiotic exposure, drug withdrawal policies based solely on cost-of-resistance arguments are insufficient</w:t>
      </w:r>
    </w:p>
    <w:p w14:paraId="5035888B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 xml:space="preserve">Key refs: Rodríguez-Verdugo et al. (2020); Goldstein (2014); </w:t>
      </w:r>
      <w:proofErr w:type="spellStart"/>
      <w:r>
        <w:rPr>
          <w:i/>
          <w:iCs/>
          <w:color w:val="888888"/>
          <w:sz w:val="20"/>
          <w:szCs w:val="20"/>
        </w:rPr>
        <w:t>Bolourchi</w:t>
      </w:r>
      <w:proofErr w:type="spellEnd"/>
      <w:r>
        <w:rPr>
          <w:i/>
          <w:iCs/>
          <w:color w:val="888888"/>
          <w:sz w:val="20"/>
          <w:szCs w:val="20"/>
        </w:rPr>
        <w:t xml:space="preserve"> et al. (2024)</w:t>
      </w:r>
    </w:p>
    <w:p w14:paraId="30C41104" w14:textId="77777777" w:rsidR="000D2339" w:rsidRDefault="000D2339">
      <w:pPr>
        <w:spacing w:after="60"/>
      </w:pPr>
    </w:p>
    <w:p w14:paraId="6CCD9C18" w14:textId="77777777" w:rsidR="000D2339" w:rsidRDefault="002604F9">
      <w:pPr>
        <w:pStyle w:val="Heading1"/>
        <w:pBdr>
          <w:bottom w:val="single" w:sz="6" w:space="6" w:color="1F3864"/>
        </w:pBdr>
      </w:pPr>
      <w:r>
        <w:t>6.  Gaps in the Literature and Novelty of the Present Research</w:t>
      </w:r>
    </w:p>
    <w:p w14:paraId="26EA3629" w14:textId="77777777" w:rsidR="000D2339" w:rsidRDefault="002604F9">
      <w:pPr>
        <w:pStyle w:val="Heading2"/>
      </w:pPr>
      <w:proofErr w:type="gramStart"/>
      <w:r>
        <w:t>6.1  Identified</w:t>
      </w:r>
      <w:proofErr w:type="gramEnd"/>
      <w:r>
        <w:t xml:space="preserve"> Gaps</w:t>
      </w:r>
    </w:p>
    <w:p w14:paraId="022C9D0A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GAP 1 — Thermal performance curves for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alleles are absent: fitness has only been measured at 2–3 discrete temperatures; a continuous thermal fitness landscape has never been constructed for any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mutant</w:t>
      </w:r>
    </w:p>
    <w:p w14:paraId="04912975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GAP 2 — Limited allelic coverage: most fitness studies focus on codon 572 and 531; the full spectrum of RRDR mutations has not been systematically </w:t>
      </w:r>
      <w:proofErr w:type="spellStart"/>
      <w:r>
        <w:rPr>
          <w:color w:val="555555"/>
        </w:rPr>
        <w:t>phenotyped</w:t>
      </w:r>
      <w:proofErr w:type="spellEnd"/>
      <w:r>
        <w:rPr>
          <w:color w:val="555555"/>
        </w:rPr>
        <w:t xml:space="preserve"> across temperatures</w:t>
      </w:r>
    </w:p>
    <w:p w14:paraId="4FF0100C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>GAP 3 — Mechanistic basis of low-temperature fitness costs is uncharacterised: gene expression changes driving deleterious effects at 37°C have not been directly identified</w:t>
      </w:r>
    </w:p>
    <w:p w14:paraId="47A48314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GAP 4 — Nutrient × temperature interaction not fully disentangled: the relative contributions of thermal stress and carbon limitation to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fitness advantage have not been systematically varied</w:t>
      </w:r>
    </w:p>
    <w:p w14:paraId="0D4561F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GAP 5 — Compensatory evolution dynamics at different temperatures: whether compensatory mutations arise faster or slower at elevated temperatures, and whether they are temperature-specific, is unknown</w:t>
      </w:r>
    </w:p>
    <w:p w14:paraId="39CB45EC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GAP 6 — In vivo / host-relevant temperature contexts: almost all data comes from controlled laboratory conditions; fitness effects at 38–40°C (febrile body temperature) have not been examined</w:t>
      </w:r>
    </w:p>
    <w:p w14:paraId="464653BD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Rodríguez-Verdugo et al. (2013); Soley et al. (2023); Wortel et al. (2023)</w:t>
      </w:r>
    </w:p>
    <w:p w14:paraId="13074DCF" w14:textId="77777777" w:rsidR="000D2339" w:rsidRDefault="000D2339">
      <w:pPr>
        <w:spacing w:after="60"/>
      </w:pPr>
    </w:p>
    <w:p w14:paraId="1A40B101" w14:textId="77777777" w:rsidR="000D2339" w:rsidRDefault="002604F9">
      <w:pPr>
        <w:pStyle w:val="Heading2"/>
      </w:pPr>
      <w:proofErr w:type="gramStart"/>
      <w:r>
        <w:t>6.2  Novel</w:t>
      </w:r>
      <w:proofErr w:type="gramEnd"/>
      <w:r>
        <w:t xml:space="preserve"> Contributions of the Present Study</w:t>
      </w:r>
    </w:p>
    <w:p w14:paraId="3ED32CA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Systematic thermal fitness landscape: measure competitive fitness of multiple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alleles across a defined temperature gradient (e.g., 20, 25, 30, 37, 40, 42°C) — first continuous thermal performance curve for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mutants</w:t>
      </w:r>
    </w:p>
    <w:p w14:paraId="46660DB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Expanded allelic panel: include mutations from all three RRDR clusters to determine whether temperature-dependence is cluster-specific or generalised</w:t>
      </w:r>
    </w:p>
    <w:p w14:paraId="54280A27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Mechanistic transcriptomics at multiple temperatures: pair fitness measurements with mRNA-seq to identify gene expression correlates of fitness costs and benefits at each temperature point</w:t>
      </w:r>
    </w:p>
    <w:p w14:paraId="1F1A659E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 xml:space="preserve">Disentangling temperature from nutrient stress: factorial design crossing temperature gradient with glucose concentration to separate thermal vs. nutritional effects on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fitness</w:t>
      </w:r>
    </w:p>
    <w:p w14:paraId="52B92402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Test of Fisher's geometrical model predictions: use empirical thermal fitness data to test whether the temperature-dependence of fitness effects is predictable from theoretical frameworks</w:t>
      </w:r>
    </w:p>
    <w:p w14:paraId="23A730C1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Implications for evolutionary forecasting: contribute quantitative G×E data to improve predictions of rifampicin resistance emergence under climate warming scenarios</w:t>
      </w:r>
    </w:p>
    <w:p w14:paraId="60060F4A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Martin &amp; Lenormand (2015); De Visser &amp; Krug (2014); Wortel et al. (2023); Rodríguez-Verdugo et al. (2020)</w:t>
      </w:r>
    </w:p>
    <w:p w14:paraId="6385660B" w14:textId="77777777" w:rsidR="000D2339" w:rsidRDefault="000D2339">
      <w:pPr>
        <w:spacing w:after="60"/>
      </w:pPr>
    </w:p>
    <w:p w14:paraId="0FA89DDF" w14:textId="77777777" w:rsidR="000D2339" w:rsidRDefault="002604F9">
      <w:pPr>
        <w:pStyle w:val="Heading2"/>
      </w:pPr>
      <w:proofErr w:type="gramStart"/>
      <w:r>
        <w:t>6.3  Broader</w:t>
      </w:r>
      <w:proofErr w:type="gramEnd"/>
      <w:r>
        <w:t xml:space="preserve"> Significance</w:t>
      </w:r>
    </w:p>
    <w:p w14:paraId="52BD40B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Fundamental evolutionary biology: characterise how a clinically important resistance locus navigates fitness landscape topography across environmental gradients</w:t>
      </w:r>
    </w:p>
    <w:p w14:paraId="41696C80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lastRenderedPageBreak/>
        <w:t xml:space="preserve">Antibiotic stewardship: challenge the cost-of-resistance assumption underpinning drug withdrawal policies; provide data on conditions under which </w:t>
      </w:r>
      <w:proofErr w:type="spellStart"/>
      <w:r>
        <w:rPr>
          <w:color w:val="555555"/>
        </w:rPr>
        <w:t>rpoB</w:t>
      </w:r>
      <w:proofErr w:type="spellEnd"/>
      <w:r>
        <w:rPr>
          <w:color w:val="555555"/>
        </w:rPr>
        <w:t xml:space="preserve"> resistance is not costly</w:t>
      </w:r>
    </w:p>
    <w:p w14:paraId="04743C2D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Climate change and AMR: provide mechanistic evidence for the link between rising temperatures and rifampicin resistance evolution — support for policy-relevant AMR forecasting</w:t>
      </w:r>
    </w:p>
    <w:p w14:paraId="7A353D5F" w14:textId="77777777" w:rsidR="000D2339" w:rsidRDefault="002604F9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555555"/>
        </w:rPr>
        <w:t>Methodological contribution: thermal performance curve approach as a generalizable framework for characterising environment-dependent fitness effects of any resistance mutation</w:t>
      </w:r>
    </w:p>
    <w:p w14:paraId="67805A19" w14:textId="77777777" w:rsidR="000D2339" w:rsidRDefault="002604F9">
      <w:pPr>
        <w:pStyle w:val="ListParagraph"/>
        <w:numPr>
          <w:ilvl w:val="1"/>
          <w:numId w:val="2"/>
        </w:numPr>
        <w:spacing w:after="60" w:line="280" w:lineRule="auto"/>
      </w:pPr>
      <w:r>
        <w:rPr>
          <w:i/>
          <w:iCs/>
          <w:color w:val="888888"/>
          <w:sz w:val="20"/>
          <w:szCs w:val="20"/>
        </w:rPr>
        <w:t>Key refs: Rodríguez-Verdugo et al. (2020); Wortel et al. (2023); Soley et al. (2023)</w:t>
      </w:r>
    </w:p>
    <w:p w14:paraId="420D6333" w14:textId="77777777" w:rsidR="000D2339" w:rsidRDefault="000D2339">
      <w:pPr>
        <w:spacing w:after="60"/>
      </w:pPr>
    </w:p>
    <w:p w14:paraId="3A31688C" w14:textId="77777777" w:rsidR="0032185C" w:rsidRDefault="0032185C">
      <w:pPr>
        <w:spacing w:after="60"/>
      </w:pPr>
    </w:p>
    <w:p w14:paraId="3C826776" w14:textId="77777777" w:rsidR="0032185C" w:rsidRDefault="0032185C">
      <w:pPr>
        <w:spacing w:after="60"/>
      </w:pPr>
    </w:p>
    <w:p w14:paraId="0DC2B69F" w14:textId="77777777" w:rsidR="0032185C" w:rsidRPr="0032185C" w:rsidRDefault="0032185C" w:rsidP="0032185C">
      <w:pPr>
        <w:spacing w:after="60"/>
      </w:pPr>
      <w:r w:rsidRPr="0032185C">
        <w:t>Here's the full outline — expanded considerably from your original brief. Here's a summary of the 6-section structure:</w:t>
      </w:r>
    </w:p>
    <w:p w14:paraId="01E4B234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Section 1 – Introduction</w:t>
      </w:r>
      <w:r w:rsidRPr="0032185C">
        <w:t xml:space="preserve"> covers the history of AMR, a formal definition of fitness (DFE, G×E, cost-of-resistance), and why </w:t>
      </w:r>
      <w:proofErr w:type="spellStart"/>
      <w:r w:rsidRPr="0032185C">
        <w:t>rpoB</w:t>
      </w:r>
      <w:proofErr w:type="spellEnd"/>
      <w:r w:rsidRPr="0032185C">
        <w:t xml:space="preserve"> is uniquely informative as an adaptive hub.</w:t>
      </w:r>
    </w:p>
    <w:p w14:paraId="3D953076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 xml:space="preserve">Section 2 – Rifampicin &amp; </w:t>
      </w:r>
      <w:proofErr w:type="spellStart"/>
      <w:r w:rsidRPr="0032185C">
        <w:rPr>
          <w:b/>
          <w:bCs/>
        </w:rPr>
        <w:t>rpoB</w:t>
      </w:r>
      <w:proofErr w:type="spellEnd"/>
      <w:r w:rsidRPr="0032185C">
        <w:rPr>
          <w:b/>
          <w:bCs/>
        </w:rPr>
        <w:t xml:space="preserve"> Molecular Biology</w:t>
      </w:r>
      <w:r w:rsidRPr="0032185C">
        <w:t xml:space="preserve"> — this is the most expanded new section, covering rifampicin's mechanism, the RRDR structure in detail, the </w:t>
      </w:r>
      <w:r w:rsidRPr="0032185C">
        <w:rPr>
          <w:i/>
          <w:iCs/>
        </w:rPr>
        <w:t>structural/biophysical basis</w:t>
      </w:r>
      <w:r w:rsidRPr="0032185C">
        <w:t xml:space="preserve"> for temperature-sensitivity (the key mechanistic gap from before), gene expression pleiotropy, and the Rho co-evolution story — all as separate subsections.</w:t>
      </w:r>
    </w:p>
    <w:p w14:paraId="1F70E1DC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Section 3 – Temperature as a Driver of Fitness</w:t>
      </w:r>
      <w:r w:rsidRPr="0032185C">
        <w:t xml:space="preserve"> covers the heat/cold stress physiology, the thermal evolution experiments, fitness landscape theory and G×E interactions, and cross-stress responses linking temperature to antibiotic resistance.</w:t>
      </w:r>
    </w:p>
    <w:p w14:paraId="489567DF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Section 4 – Fitness Costs, Benefits &amp; Contingency</w:t>
      </w:r>
      <w:r w:rsidRPr="0032185C">
        <w:t xml:space="preserve"> — the most detailed section, with dedicated subsections on: the cost-of-resistance paradigm, allele-specific fitness effects, the </w:t>
      </w:r>
      <w:proofErr w:type="spellStart"/>
      <w:r w:rsidRPr="0032185C">
        <w:t>nutrient×temperature</w:t>
      </w:r>
      <w:proofErr w:type="spellEnd"/>
      <w:r w:rsidRPr="0032185C">
        <w:t xml:space="preserve"> co-variable (a gap from before), genetic background epistasis, compensatory mutations, </w:t>
      </w:r>
      <w:r w:rsidRPr="0032185C">
        <w:rPr>
          <w:b/>
          <w:bCs/>
        </w:rPr>
        <w:t>fitness measurement methodology</w:t>
      </w:r>
      <w:r w:rsidRPr="0032185C">
        <w:t>, and population dynamics/clonal interference.</w:t>
      </w:r>
    </w:p>
    <w:p w14:paraId="26BEC3A2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Section 5 – Comparative &amp; Clinical Perspectives</w:t>
      </w:r>
      <w:r w:rsidRPr="0032185C">
        <w:t xml:space="preserve"> covers cross-species </w:t>
      </w:r>
      <w:proofErr w:type="spellStart"/>
      <w:r w:rsidRPr="0032185C">
        <w:t>rpoB</w:t>
      </w:r>
      <w:proofErr w:type="spellEnd"/>
      <w:r w:rsidRPr="0032185C">
        <w:t xml:space="preserve"> fitness and clinical/environmental evidence for non-antibiotic selection.</w:t>
      </w:r>
    </w:p>
    <w:p w14:paraId="7F63EDB9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Section 6 – Gaps &amp; Novelty</w:t>
      </w:r>
      <w:r w:rsidRPr="0032185C">
        <w:t xml:space="preserve"> explicitly lists 6 identified gaps in the literature, then maps your research onto each, with broader significance for stewardship and climate change.</w:t>
      </w:r>
    </w:p>
    <w:p w14:paraId="1E41FF69" w14:textId="77777777" w:rsidR="0032185C" w:rsidRDefault="0032185C">
      <w:pPr>
        <w:spacing w:after="60"/>
      </w:pPr>
    </w:p>
    <w:p w14:paraId="6D907B2F" w14:textId="77777777" w:rsidR="0032185C" w:rsidRDefault="0032185C">
      <w:pPr>
        <w:spacing w:after="60"/>
      </w:pPr>
    </w:p>
    <w:p w14:paraId="5EE562B2" w14:textId="77777777" w:rsidR="0032185C" w:rsidRDefault="0032185C">
      <w:pPr>
        <w:spacing w:after="60"/>
      </w:pPr>
    </w:p>
    <w:p w14:paraId="5403F64C" w14:textId="77777777" w:rsidR="0032185C" w:rsidRDefault="0032185C">
      <w:pPr>
        <w:spacing w:after="60"/>
      </w:pPr>
    </w:p>
    <w:p w14:paraId="793E81C0" w14:textId="77777777" w:rsidR="0032185C" w:rsidRDefault="0032185C">
      <w:pPr>
        <w:spacing w:after="60"/>
      </w:pPr>
    </w:p>
    <w:p w14:paraId="3F6E4488" w14:textId="77777777" w:rsidR="0032185C" w:rsidRDefault="0032185C">
      <w:pPr>
        <w:spacing w:after="60"/>
      </w:pPr>
    </w:p>
    <w:p w14:paraId="58FC7B2D" w14:textId="77777777" w:rsidR="0032185C" w:rsidRDefault="0032185C">
      <w:pPr>
        <w:spacing w:after="60"/>
      </w:pPr>
    </w:p>
    <w:p w14:paraId="643B0931" w14:textId="77777777" w:rsidR="0032185C" w:rsidRDefault="0032185C">
      <w:pPr>
        <w:spacing w:after="60"/>
      </w:pPr>
    </w:p>
    <w:p w14:paraId="74F6073D" w14:textId="77777777" w:rsidR="0032185C" w:rsidRDefault="0032185C">
      <w:pPr>
        <w:spacing w:after="60"/>
      </w:pPr>
    </w:p>
    <w:p w14:paraId="6DA90AF6" w14:textId="77777777" w:rsidR="0032185C" w:rsidRDefault="0032185C">
      <w:pPr>
        <w:spacing w:after="60"/>
      </w:pPr>
    </w:p>
    <w:p w14:paraId="3AADE950" w14:textId="77777777" w:rsidR="0032185C" w:rsidRDefault="0032185C">
      <w:pPr>
        <w:spacing w:after="60"/>
      </w:pPr>
    </w:p>
    <w:p w14:paraId="51108F63" w14:textId="77777777" w:rsidR="0032185C" w:rsidRDefault="0032185C">
      <w:pPr>
        <w:spacing w:after="60"/>
      </w:pPr>
    </w:p>
    <w:p w14:paraId="4B8602AF" w14:textId="56E9B33D" w:rsidR="0032185C" w:rsidRPr="0032185C" w:rsidRDefault="0032185C" w:rsidP="0032185C">
      <w:pPr>
        <w:spacing w:after="60"/>
        <w:rPr>
          <w:b/>
          <w:bCs/>
        </w:rPr>
      </w:pPr>
      <w:r>
        <w:rPr>
          <w:b/>
          <w:bCs/>
        </w:rPr>
        <w:t xml:space="preserve">GPT </w:t>
      </w:r>
      <w:r w:rsidRPr="0032185C">
        <w:rPr>
          <w:b/>
          <w:bCs/>
        </w:rPr>
        <w:t>Literature Review Structure</w:t>
      </w:r>
    </w:p>
    <w:p w14:paraId="6F21DC3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1. Introduction to Antibiotic Resistance and Fitness Costs</w:t>
      </w:r>
    </w:p>
    <w:p w14:paraId="010B5394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1.1 The Evolution of Antibiotic Resistance</w:t>
      </w:r>
    </w:p>
    <w:p w14:paraId="2A91FD74" w14:textId="77777777" w:rsidR="0032185C" w:rsidRPr="0032185C" w:rsidRDefault="0032185C" w:rsidP="0032185C">
      <w:pPr>
        <w:numPr>
          <w:ilvl w:val="0"/>
          <w:numId w:val="3"/>
        </w:numPr>
        <w:spacing w:after="60"/>
      </w:pPr>
      <w:r w:rsidRPr="0032185C">
        <w:t>Emergence of resistance under antibiotic selection</w:t>
      </w:r>
    </w:p>
    <w:p w14:paraId="3DB516D2" w14:textId="77777777" w:rsidR="0032185C" w:rsidRPr="0032185C" w:rsidRDefault="0032185C" w:rsidP="0032185C">
      <w:pPr>
        <w:numPr>
          <w:ilvl w:val="0"/>
          <w:numId w:val="3"/>
        </w:numPr>
        <w:spacing w:after="60"/>
      </w:pPr>
      <w:r w:rsidRPr="0032185C">
        <w:t>Importance for clinical and evolutionary biology</w:t>
      </w:r>
    </w:p>
    <w:p w14:paraId="673946CC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1.2 Fitness Costs of Resistance Mutations</w:t>
      </w:r>
    </w:p>
    <w:p w14:paraId="1B5DF3CD" w14:textId="77777777" w:rsidR="0032185C" w:rsidRPr="0032185C" w:rsidRDefault="0032185C" w:rsidP="0032185C">
      <w:pPr>
        <w:numPr>
          <w:ilvl w:val="0"/>
          <w:numId w:val="4"/>
        </w:numPr>
        <w:spacing w:after="60"/>
      </w:pPr>
      <w:r w:rsidRPr="0032185C">
        <w:t>Definition of fitness cost</w:t>
      </w:r>
    </w:p>
    <w:p w14:paraId="7E5EC454" w14:textId="77777777" w:rsidR="0032185C" w:rsidRPr="0032185C" w:rsidRDefault="0032185C" w:rsidP="0032185C">
      <w:pPr>
        <w:numPr>
          <w:ilvl w:val="0"/>
          <w:numId w:val="4"/>
        </w:numPr>
        <w:spacing w:after="60"/>
      </w:pPr>
      <w:r w:rsidRPr="0032185C">
        <w:t>Why resistance mutations are often deleterious without antibiotics</w:t>
      </w:r>
    </w:p>
    <w:p w14:paraId="149EC7F3" w14:textId="77777777" w:rsidR="0032185C" w:rsidRPr="0032185C" w:rsidRDefault="0032185C" w:rsidP="0032185C">
      <w:pPr>
        <w:numPr>
          <w:ilvl w:val="0"/>
          <w:numId w:val="4"/>
        </w:numPr>
        <w:spacing w:after="60"/>
      </w:pPr>
      <w:r w:rsidRPr="0032185C">
        <w:t>Trade-offs between resistance and growth</w:t>
      </w:r>
    </w:p>
    <w:p w14:paraId="2A696B74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1.3 Environmental Modulation of Fitness Costs</w:t>
      </w:r>
    </w:p>
    <w:p w14:paraId="294C0122" w14:textId="77777777" w:rsidR="0032185C" w:rsidRPr="0032185C" w:rsidRDefault="0032185C" w:rsidP="0032185C">
      <w:pPr>
        <w:numPr>
          <w:ilvl w:val="0"/>
          <w:numId w:val="5"/>
        </w:numPr>
        <w:spacing w:after="60"/>
      </w:pPr>
      <w:r w:rsidRPr="0032185C">
        <w:t>Concept of genotype-by-environment (G×E) interactions</w:t>
      </w:r>
    </w:p>
    <w:p w14:paraId="63D42D79" w14:textId="77777777" w:rsidR="0032185C" w:rsidRPr="0032185C" w:rsidRDefault="0032185C" w:rsidP="0032185C">
      <w:pPr>
        <w:numPr>
          <w:ilvl w:val="0"/>
          <w:numId w:val="5"/>
        </w:numPr>
        <w:spacing w:after="60"/>
      </w:pPr>
      <w:r w:rsidRPr="0032185C">
        <w:t>Why environmental conditions alter resistance fitness</w:t>
      </w:r>
    </w:p>
    <w:p w14:paraId="5DE156AB" w14:textId="77777777" w:rsidR="0032185C" w:rsidRPr="0032185C" w:rsidRDefault="00000000" w:rsidP="0032185C">
      <w:pPr>
        <w:spacing w:after="60"/>
      </w:pPr>
      <w:r>
        <w:pict w14:anchorId="7989A9A2">
          <v:rect id="_x0000_i1025" style="width:0;height:1.5pt" o:hralign="center" o:hrstd="t" o:hr="t" fillcolor="#a0a0a0" stroked="f"/>
        </w:pict>
      </w:r>
    </w:p>
    <w:p w14:paraId="28C6C48D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 xml:space="preserve">2. Rifampicin Resistance in </w:t>
      </w:r>
      <w:r w:rsidRPr="0032185C">
        <w:rPr>
          <w:b/>
          <w:bCs/>
          <w:i/>
          <w:iCs/>
        </w:rPr>
        <w:t>Escherichia coli</w:t>
      </w:r>
    </w:p>
    <w:p w14:paraId="6C6F144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2.1 Mechanism of Action of Rifampicin</w:t>
      </w:r>
    </w:p>
    <w:p w14:paraId="7C6B18A6" w14:textId="77777777" w:rsidR="0032185C" w:rsidRPr="0032185C" w:rsidRDefault="0032185C" w:rsidP="0032185C">
      <w:pPr>
        <w:numPr>
          <w:ilvl w:val="0"/>
          <w:numId w:val="6"/>
        </w:numPr>
        <w:spacing w:after="60"/>
      </w:pPr>
      <w:r w:rsidRPr="0032185C">
        <w:t>Target: RNA polymerase</w:t>
      </w:r>
    </w:p>
    <w:p w14:paraId="339DA58C" w14:textId="77777777" w:rsidR="0032185C" w:rsidRPr="0032185C" w:rsidRDefault="0032185C" w:rsidP="0032185C">
      <w:pPr>
        <w:numPr>
          <w:ilvl w:val="0"/>
          <w:numId w:val="6"/>
        </w:numPr>
        <w:spacing w:after="60"/>
      </w:pPr>
      <w:r w:rsidRPr="0032185C">
        <w:t>Inhibition of transcription</w:t>
      </w:r>
    </w:p>
    <w:p w14:paraId="41E4AE79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 xml:space="preserve">2.2 The </w:t>
      </w:r>
      <w:proofErr w:type="spellStart"/>
      <w:r w:rsidRPr="0032185C">
        <w:rPr>
          <w:b/>
          <w:bCs/>
          <w:i/>
          <w:iCs/>
        </w:rPr>
        <w:t>rpoB</w:t>
      </w:r>
      <w:proofErr w:type="spellEnd"/>
      <w:r w:rsidRPr="0032185C">
        <w:rPr>
          <w:b/>
          <w:bCs/>
        </w:rPr>
        <w:t xml:space="preserve"> Gene and RNA Polymerase Function</w:t>
      </w:r>
    </w:p>
    <w:p w14:paraId="7D061DC9" w14:textId="77777777" w:rsidR="0032185C" w:rsidRPr="0032185C" w:rsidRDefault="0032185C" w:rsidP="0032185C">
      <w:pPr>
        <w:numPr>
          <w:ilvl w:val="0"/>
          <w:numId w:val="7"/>
        </w:numPr>
        <w:spacing w:after="60"/>
      </w:pPr>
      <w:r w:rsidRPr="0032185C">
        <w:t>Structure and role of the β-subunit</w:t>
      </w:r>
    </w:p>
    <w:p w14:paraId="6EB1B34F" w14:textId="77777777" w:rsidR="0032185C" w:rsidRPr="0032185C" w:rsidRDefault="0032185C" w:rsidP="0032185C">
      <w:pPr>
        <w:numPr>
          <w:ilvl w:val="0"/>
          <w:numId w:val="7"/>
        </w:numPr>
        <w:spacing w:after="60"/>
      </w:pPr>
      <w:r w:rsidRPr="0032185C">
        <w:t>Importance for transcriptional regulation</w:t>
      </w:r>
    </w:p>
    <w:p w14:paraId="3238D151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 xml:space="preserve">2.3 </w:t>
      </w:r>
      <w:proofErr w:type="spellStart"/>
      <w:r w:rsidRPr="0032185C">
        <w:rPr>
          <w:b/>
          <w:bCs/>
          <w:i/>
          <w:iCs/>
        </w:rPr>
        <w:t>rpoB</w:t>
      </w:r>
      <w:proofErr w:type="spellEnd"/>
      <w:r w:rsidRPr="0032185C">
        <w:rPr>
          <w:b/>
          <w:bCs/>
        </w:rPr>
        <w:t xml:space="preserve"> Mutations Conferring Rifampicin Resistance</w:t>
      </w:r>
    </w:p>
    <w:p w14:paraId="48C2CE64" w14:textId="77777777" w:rsidR="0032185C" w:rsidRPr="0032185C" w:rsidRDefault="0032185C" w:rsidP="0032185C">
      <w:pPr>
        <w:numPr>
          <w:ilvl w:val="0"/>
          <w:numId w:val="8"/>
        </w:numPr>
        <w:spacing w:after="60"/>
      </w:pPr>
      <w:r w:rsidRPr="0032185C">
        <w:t>Common mutation sites</w:t>
      </w:r>
    </w:p>
    <w:p w14:paraId="7474B47B" w14:textId="77777777" w:rsidR="0032185C" w:rsidRPr="0032185C" w:rsidRDefault="0032185C" w:rsidP="0032185C">
      <w:pPr>
        <w:numPr>
          <w:ilvl w:val="0"/>
          <w:numId w:val="8"/>
        </w:numPr>
        <w:spacing w:after="60"/>
      </w:pPr>
      <w:r w:rsidRPr="0032185C">
        <w:t>Molecular mechanisms of resistance</w:t>
      </w:r>
    </w:p>
    <w:p w14:paraId="3C3CD0F0" w14:textId="77777777" w:rsidR="0032185C" w:rsidRPr="0032185C" w:rsidRDefault="00000000" w:rsidP="0032185C">
      <w:pPr>
        <w:spacing w:after="60"/>
      </w:pPr>
      <w:r>
        <w:pict w14:anchorId="313DAF94">
          <v:rect id="_x0000_i1026" style="width:0;height:1.5pt" o:hralign="center" o:hrstd="t" o:hr="t" fillcolor="#a0a0a0" stroked="f"/>
        </w:pict>
      </w:r>
    </w:p>
    <w:p w14:paraId="04286394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 xml:space="preserve">3. Fitness Effects of </w:t>
      </w:r>
      <w:proofErr w:type="spellStart"/>
      <w:r w:rsidRPr="0032185C">
        <w:rPr>
          <w:b/>
          <w:bCs/>
          <w:i/>
          <w:iCs/>
        </w:rPr>
        <w:t>rpoB</w:t>
      </w:r>
      <w:proofErr w:type="spellEnd"/>
      <w:r w:rsidRPr="0032185C">
        <w:rPr>
          <w:b/>
          <w:bCs/>
        </w:rPr>
        <w:t xml:space="preserve"> Mutations</w:t>
      </w:r>
    </w:p>
    <w:p w14:paraId="1C80D6D2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3.1 Growth Rate and Competitive Fitness</w:t>
      </w:r>
    </w:p>
    <w:p w14:paraId="15BDF6A8" w14:textId="77777777" w:rsidR="0032185C" w:rsidRPr="0032185C" w:rsidRDefault="0032185C" w:rsidP="0032185C">
      <w:pPr>
        <w:numPr>
          <w:ilvl w:val="0"/>
          <w:numId w:val="9"/>
        </w:numPr>
        <w:spacing w:after="60"/>
      </w:pPr>
      <w:r w:rsidRPr="0032185C">
        <w:t>Laboratory measurements of fitness costs</w:t>
      </w:r>
    </w:p>
    <w:p w14:paraId="33AC3FA2" w14:textId="77777777" w:rsidR="0032185C" w:rsidRPr="0032185C" w:rsidRDefault="0032185C" w:rsidP="0032185C">
      <w:pPr>
        <w:numPr>
          <w:ilvl w:val="0"/>
          <w:numId w:val="9"/>
        </w:numPr>
        <w:spacing w:after="60"/>
      </w:pPr>
      <w:r w:rsidRPr="0032185C">
        <w:t xml:space="preserve">Variation among different </w:t>
      </w:r>
      <w:proofErr w:type="spellStart"/>
      <w:r w:rsidRPr="0032185C">
        <w:rPr>
          <w:i/>
          <w:iCs/>
        </w:rPr>
        <w:t>rpoB</w:t>
      </w:r>
      <w:proofErr w:type="spellEnd"/>
      <w:r w:rsidRPr="0032185C">
        <w:t xml:space="preserve"> mutations</w:t>
      </w:r>
    </w:p>
    <w:p w14:paraId="7211F0F5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3.2 Pleiotropic Effects of RNA Polymerase Mutations</w:t>
      </w:r>
    </w:p>
    <w:p w14:paraId="3555CF4E" w14:textId="77777777" w:rsidR="0032185C" w:rsidRPr="0032185C" w:rsidRDefault="0032185C" w:rsidP="0032185C">
      <w:pPr>
        <w:numPr>
          <w:ilvl w:val="0"/>
          <w:numId w:val="10"/>
        </w:numPr>
        <w:spacing w:after="60"/>
      </w:pPr>
      <w:r w:rsidRPr="0032185C">
        <w:t>Effects on transcription regulation</w:t>
      </w:r>
    </w:p>
    <w:p w14:paraId="37FEB72E" w14:textId="77777777" w:rsidR="0032185C" w:rsidRPr="0032185C" w:rsidRDefault="0032185C" w:rsidP="0032185C">
      <w:pPr>
        <w:numPr>
          <w:ilvl w:val="0"/>
          <w:numId w:val="10"/>
        </w:numPr>
        <w:spacing w:after="60"/>
      </w:pPr>
      <w:r w:rsidRPr="0032185C">
        <w:t>Impacts on metabolism and stress responses</w:t>
      </w:r>
    </w:p>
    <w:p w14:paraId="41C6435E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3.3 Compensatory Evolution</w:t>
      </w:r>
    </w:p>
    <w:p w14:paraId="6E1336F3" w14:textId="77777777" w:rsidR="0032185C" w:rsidRPr="0032185C" w:rsidRDefault="0032185C" w:rsidP="0032185C">
      <w:pPr>
        <w:numPr>
          <w:ilvl w:val="0"/>
          <w:numId w:val="11"/>
        </w:numPr>
        <w:spacing w:after="60"/>
      </w:pPr>
      <w:r w:rsidRPr="0032185C">
        <w:t>Secondary mutations reducing resistance costs</w:t>
      </w:r>
    </w:p>
    <w:p w14:paraId="72300541" w14:textId="77777777" w:rsidR="0032185C" w:rsidRPr="0032185C" w:rsidRDefault="0032185C" w:rsidP="0032185C">
      <w:pPr>
        <w:numPr>
          <w:ilvl w:val="0"/>
          <w:numId w:val="11"/>
        </w:numPr>
        <w:spacing w:after="60"/>
      </w:pPr>
      <w:r w:rsidRPr="0032185C">
        <w:t>Adaptation after resistance acquisition</w:t>
      </w:r>
    </w:p>
    <w:p w14:paraId="37468DEB" w14:textId="77777777" w:rsidR="0032185C" w:rsidRPr="0032185C" w:rsidRDefault="00000000" w:rsidP="0032185C">
      <w:pPr>
        <w:spacing w:after="60"/>
      </w:pPr>
      <w:r>
        <w:pict w14:anchorId="268580D5">
          <v:rect id="_x0000_i1027" style="width:0;height:1.5pt" o:hralign="center" o:hrstd="t" o:hr="t" fillcolor="#a0a0a0" stroked="f"/>
        </w:pict>
      </w:r>
    </w:p>
    <w:p w14:paraId="28BF3B3A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4. Temperature as an Environmental Stressor</w:t>
      </w:r>
    </w:p>
    <w:p w14:paraId="4B4FE527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4.1 Temperature Effects on Bacterial Physiology</w:t>
      </w:r>
    </w:p>
    <w:p w14:paraId="5316F524" w14:textId="77777777" w:rsidR="0032185C" w:rsidRPr="0032185C" w:rsidRDefault="0032185C" w:rsidP="0032185C">
      <w:pPr>
        <w:numPr>
          <w:ilvl w:val="0"/>
          <w:numId w:val="12"/>
        </w:numPr>
        <w:spacing w:after="60"/>
      </w:pPr>
      <w:r w:rsidRPr="0032185C">
        <w:t>Effects on enzyme kinetics</w:t>
      </w:r>
    </w:p>
    <w:p w14:paraId="32C7361A" w14:textId="77777777" w:rsidR="0032185C" w:rsidRPr="0032185C" w:rsidRDefault="0032185C" w:rsidP="0032185C">
      <w:pPr>
        <w:numPr>
          <w:ilvl w:val="0"/>
          <w:numId w:val="12"/>
        </w:numPr>
        <w:spacing w:after="60"/>
      </w:pPr>
      <w:r w:rsidRPr="0032185C">
        <w:t>Effects on transcription and protein stability</w:t>
      </w:r>
    </w:p>
    <w:p w14:paraId="1F735CFD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4.2 Thermal Sensitivity of RNA Polymerase</w:t>
      </w:r>
    </w:p>
    <w:p w14:paraId="27C30BB6" w14:textId="77777777" w:rsidR="0032185C" w:rsidRPr="0032185C" w:rsidRDefault="0032185C" w:rsidP="0032185C">
      <w:pPr>
        <w:numPr>
          <w:ilvl w:val="0"/>
          <w:numId w:val="13"/>
        </w:numPr>
        <w:spacing w:after="60"/>
      </w:pPr>
      <w:r w:rsidRPr="0032185C">
        <w:lastRenderedPageBreak/>
        <w:t>Temperature-dependent transcription efficiency</w:t>
      </w:r>
    </w:p>
    <w:p w14:paraId="00A508A2" w14:textId="77777777" w:rsidR="0032185C" w:rsidRPr="0032185C" w:rsidRDefault="0032185C" w:rsidP="0032185C">
      <w:pPr>
        <w:numPr>
          <w:ilvl w:val="0"/>
          <w:numId w:val="13"/>
        </w:numPr>
        <w:spacing w:after="60"/>
      </w:pPr>
      <w:r w:rsidRPr="0032185C">
        <w:t>Protein folding and stability</w:t>
      </w:r>
    </w:p>
    <w:p w14:paraId="5648D537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4.3 Temperature and Bacterial Adaptation</w:t>
      </w:r>
    </w:p>
    <w:p w14:paraId="432878D2" w14:textId="77777777" w:rsidR="0032185C" w:rsidRPr="0032185C" w:rsidRDefault="0032185C" w:rsidP="0032185C">
      <w:pPr>
        <w:numPr>
          <w:ilvl w:val="0"/>
          <w:numId w:val="14"/>
        </w:numPr>
        <w:spacing w:after="60"/>
      </w:pPr>
      <w:r w:rsidRPr="0032185C">
        <w:t>Evolution across thermal environments</w:t>
      </w:r>
    </w:p>
    <w:p w14:paraId="02AFED6E" w14:textId="77777777" w:rsidR="0032185C" w:rsidRPr="0032185C" w:rsidRDefault="0032185C" w:rsidP="0032185C">
      <w:pPr>
        <w:numPr>
          <w:ilvl w:val="0"/>
          <w:numId w:val="14"/>
        </w:numPr>
        <w:spacing w:after="60"/>
      </w:pPr>
      <w:r w:rsidRPr="0032185C">
        <w:t>Stress responses to heat and cold</w:t>
      </w:r>
    </w:p>
    <w:p w14:paraId="32343FF9" w14:textId="77777777" w:rsidR="0032185C" w:rsidRPr="0032185C" w:rsidRDefault="00000000" w:rsidP="0032185C">
      <w:pPr>
        <w:spacing w:after="60"/>
      </w:pPr>
      <w:r>
        <w:pict w14:anchorId="6AAC2A77">
          <v:rect id="_x0000_i1028" style="width:0;height:1.5pt" o:hralign="center" o:hrstd="t" o:hr="t" fillcolor="#a0a0a0" stroked="f"/>
        </w:pict>
      </w:r>
    </w:p>
    <w:p w14:paraId="1986F0FA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 xml:space="preserve">5. Temperature-Dependent Fitness Effects of </w:t>
      </w:r>
      <w:proofErr w:type="spellStart"/>
      <w:r w:rsidRPr="0032185C">
        <w:rPr>
          <w:b/>
          <w:bCs/>
          <w:i/>
          <w:iCs/>
        </w:rPr>
        <w:t>rpoB</w:t>
      </w:r>
      <w:proofErr w:type="spellEnd"/>
      <w:r w:rsidRPr="0032185C">
        <w:rPr>
          <w:b/>
          <w:bCs/>
        </w:rPr>
        <w:t xml:space="preserve"> Mutations</w:t>
      </w:r>
    </w:p>
    <w:p w14:paraId="68D7762B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5.1 Evidence for Genotype-by-Temperature Interactions</w:t>
      </w:r>
    </w:p>
    <w:p w14:paraId="2CDD372C" w14:textId="77777777" w:rsidR="0032185C" w:rsidRPr="0032185C" w:rsidRDefault="0032185C" w:rsidP="0032185C">
      <w:pPr>
        <w:numPr>
          <w:ilvl w:val="0"/>
          <w:numId w:val="15"/>
        </w:numPr>
        <w:spacing w:after="60"/>
      </w:pPr>
      <w:r w:rsidRPr="0032185C">
        <w:t>Studies showing fitness varies across temperatures</w:t>
      </w:r>
    </w:p>
    <w:p w14:paraId="3D9A6DD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5.2 Temperature-Specific Costs of Rifampicin Resistance</w:t>
      </w:r>
    </w:p>
    <w:p w14:paraId="6875EA83" w14:textId="77777777" w:rsidR="0032185C" w:rsidRPr="0032185C" w:rsidRDefault="0032185C" w:rsidP="0032185C">
      <w:pPr>
        <w:numPr>
          <w:ilvl w:val="0"/>
          <w:numId w:val="16"/>
        </w:numPr>
        <w:spacing w:after="60"/>
      </w:pPr>
      <w:r w:rsidRPr="0032185C">
        <w:t>Mutations that are neutral at one temperature but costly at another</w:t>
      </w:r>
    </w:p>
    <w:p w14:paraId="0EB29004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5.3 Thermal Trade-offs in Resistant Mutants</w:t>
      </w:r>
    </w:p>
    <w:p w14:paraId="734B968F" w14:textId="77777777" w:rsidR="0032185C" w:rsidRPr="0032185C" w:rsidRDefault="0032185C" w:rsidP="0032185C">
      <w:pPr>
        <w:numPr>
          <w:ilvl w:val="0"/>
          <w:numId w:val="17"/>
        </w:numPr>
        <w:spacing w:after="60"/>
      </w:pPr>
      <w:r w:rsidRPr="0032185C">
        <w:t>Adaptation to high vs low temperature environments</w:t>
      </w:r>
    </w:p>
    <w:p w14:paraId="35DBD320" w14:textId="77777777" w:rsidR="0032185C" w:rsidRPr="0032185C" w:rsidRDefault="00000000" w:rsidP="0032185C">
      <w:pPr>
        <w:spacing w:after="60"/>
      </w:pPr>
      <w:r>
        <w:pict w14:anchorId="69E6152F">
          <v:rect id="_x0000_i1029" style="width:0;height:1.5pt" o:hralign="center" o:hrstd="t" o:hr="t" fillcolor="#a0a0a0" stroked="f"/>
        </w:pict>
      </w:r>
    </w:p>
    <w:p w14:paraId="4D3F511C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6. Mechanistic Explanations for Temperature-Dependent Fitness</w:t>
      </w:r>
    </w:p>
    <w:p w14:paraId="11177AE3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6.1 Effects on Transcriptional Efficiency</w:t>
      </w:r>
    </w:p>
    <w:p w14:paraId="4CD21687" w14:textId="77777777" w:rsidR="0032185C" w:rsidRPr="0032185C" w:rsidRDefault="0032185C" w:rsidP="0032185C">
      <w:pPr>
        <w:numPr>
          <w:ilvl w:val="0"/>
          <w:numId w:val="18"/>
        </w:numPr>
        <w:spacing w:after="60"/>
      </w:pPr>
      <w:r w:rsidRPr="0032185C">
        <w:t>Altered RNA polymerase activity at different temperatures</w:t>
      </w:r>
    </w:p>
    <w:p w14:paraId="32B71E7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6.2 Protein Stability and Structural Constraints</w:t>
      </w:r>
    </w:p>
    <w:p w14:paraId="3619C5BB" w14:textId="77777777" w:rsidR="0032185C" w:rsidRPr="0032185C" w:rsidRDefault="0032185C" w:rsidP="0032185C">
      <w:pPr>
        <w:numPr>
          <w:ilvl w:val="0"/>
          <w:numId w:val="19"/>
        </w:numPr>
        <w:spacing w:after="60"/>
      </w:pPr>
      <w:r w:rsidRPr="0032185C">
        <w:t>Temperature effects on mutant RNAP structure</w:t>
      </w:r>
    </w:p>
    <w:p w14:paraId="15C35760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6.3 Global Regulatory Effects</w:t>
      </w:r>
    </w:p>
    <w:p w14:paraId="01FBB972" w14:textId="77777777" w:rsidR="0032185C" w:rsidRPr="0032185C" w:rsidRDefault="0032185C" w:rsidP="0032185C">
      <w:pPr>
        <w:numPr>
          <w:ilvl w:val="0"/>
          <w:numId w:val="20"/>
        </w:numPr>
        <w:spacing w:after="60"/>
      </w:pPr>
      <w:r w:rsidRPr="0032185C">
        <w:t>Changes in gene expression networks</w:t>
      </w:r>
    </w:p>
    <w:p w14:paraId="31060D67" w14:textId="77777777" w:rsidR="0032185C" w:rsidRPr="0032185C" w:rsidRDefault="0032185C" w:rsidP="0032185C">
      <w:pPr>
        <w:numPr>
          <w:ilvl w:val="0"/>
          <w:numId w:val="20"/>
        </w:numPr>
        <w:spacing w:after="60"/>
      </w:pPr>
      <w:r w:rsidRPr="0032185C">
        <w:t>Stress response pathways</w:t>
      </w:r>
    </w:p>
    <w:p w14:paraId="503CEABB" w14:textId="77777777" w:rsidR="0032185C" w:rsidRPr="0032185C" w:rsidRDefault="00000000" w:rsidP="0032185C">
      <w:pPr>
        <w:spacing w:after="60"/>
      </w:pPr>
      <w:r>
        <w:pict w14:anchorId="3AC792E0">
          <v:rect id="_x0000_i1030" style="width:0;height:1.5pt" o:hralign="center" o:hrstd="t" o:hr="t" fillcolor="#a0a0a0" stroked="f"/>
        </w:pict>
      </w:r>
    </w:p>
    <w:p w14:paraId="4C05EF42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7. Implications for Evolutionary Predictability</w:t>
      </w:r>
    </w:p>
    <w:p w14:paraId="1AB8A353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7.1 Environmental Dependence of Resistance Costs</w:t>
      </w:r>
    </w:p>
    <w:p w14:paraId="385E73A8" w14:textId="77777777" w:rsidR="0032185C" w:rsidRPr="0032185C" w:rsidRDefault="0032185C" w:rsidP="0032185C">
      <w:pPr>
        <w:numPr>
          <w:ilvl w:val="0"/>
          <w:numId w:val="21"/>
        </w:numPr>
        <w:spacing w:after="60"/>
      </w:pPr>
      <w:r w:rsidRPr="0032185C">
        <w:t>Why fitness effects are context-dependent</w:t>
      </w:r>
    </w:p>
    <w:p w14:paraId="1A87B8F8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7.2 Predicting Evolutionary Trajectories</w:t>
      </w:r>
    </w:p>
    <w:p w14:paraId="63CFB9C3" w14:textId="77777777" w:rsidR="0032185C" w:rsidRPr="0032185C" w:rsidRDefault="0032185C" w:rsidP="0032185C">
      <w:pPr>
        <w:numPr>
          <w:ilvl w:val="0"/>
          <w:numId w:val="22"/>
        </w:numPr>
        <w:spacing w:after="60"/>
      </w:pPr>
      <w:r w:rsidRPr="0032185C">
        <w:t>How temperature affects which mutations persist</w:t>
      </w:r>
    </w:p>
    <w:p w14:paraId="33166C78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7.3 Relevance for Antibiotic Resistance Management</w:t>
      </w:r>
    </w:p>
    <w:p w14:paraId="7E4C1061" w14:textId="77777777" w:rsidR="0032185C" w:rsidRPr="0032185C" w:rsidRDefault="0032185C" w:rsidP="0032185C">
      <w:pPr>
        <w:numPr>
          <w:ilvl w:val="0"/>
          <w:numId w:val="23"/>
        </w:numPr>
        <w:spacing w:after="60"/>
      </w:pPr>
      <w:r w:rsidRPr="0032185C">
        <w:t>Environmental factors shaping resistance evolution</w:t>
      </w:r>
    </w:p>
    <w:p w14:paraId="471D62CE" w14:textId="77777777" w:rsidR="0032185C" w:rsidRPr="0032185C" w:rsidRDefault="00000000" w:rsidP="0032185C">
      <w:pPr>
        <w:spacing w:after="60"/>
      </w:pPr>
      <w:r>
        <w:pict w14:anchorId="155A7D4F">
          <v:rect id="_x0000_i1031" style="width:0;height:1.5pt" o:hralign="center" o:hrstd="t" o:hr="t" fillcolor="#a0a0a0" stroked="f"/>
        </w:pict>
      </w:r>
    </w:p>
    <w:p w14:paraId="4D64658E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8. Knowledge Gaps and Future Research Directions</w:t>
      </w:r>
    </w:p>
    <w:p w14:paraId="1F98E7E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8.1 Limited Understanding of Temperature-Specific Effects</w:t>
      </w:r>
    </w:p>
    <w:p w14:paraId="48066C27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8.2 Need for Systematic Studies Across Thermal Gradients</w:t>
      </w:r>
    </w:p>
    <w:p w14:paraId="396FF414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8.3 Integrating Molecular Mechanisms with Evolutionary Outcomes</w:t>
      </w:r>
    </w:p>
    <w:p w14:paraId="205A4F6D" w14:textId="77777777" w:rsidR="0032185C" w:rsidRDefault="0032185C">
      <w:pPr>
        <w:spacing w:after="60"/>
      </w:pPr>
    </w:p>
    <w:p w14:paraId="3389DAB4" w14:textId="77777777" w:rsidR="0032185C" w:rsidRDefault="0032185C">
      <w:pPr>
        <w:spacing w:after="60"/>
      </w:pPr>
    </w:p>
    <w:p w14:paraId="42AEF565" w14:textId="77777777" w:rsidR="0032185C" w:rsidRDefault="0032185C">
      <w:pPr>
        <w:spacing w:after="60"/>
      </w:pPr>
    </w:p>
    <w:p w14:paraId="6AF652F7" w14:textId="77777777" w:rsidR="0032185C" w:rsidRDefault="0032185C">
      <w:pPr>
        <w:spacing w:after="60"/>
      </w:pPr>
    </w:p>
    <w:p w14:paraId="6CC0FB5D" w14:textId="77777777" w:rsidR="0032185C" w:rsidRDefault="0032185C">
      <w:pPr>
        <w:spacing w:after="60"/>
      </w:pPr>
    </w:p>
    <w:p w14:paraId="149A49A0" w14:textId="77777777" w:rsidR="0032185C" w:rsidRDefault="0032185C">
      <w:pPr>
        <w:spacing w:after="60"/>
      </w:pPr>
    </w:p>
    <w:p w14:paraId="74A035F4" w14:textId="77777777" w:rsidR="0032185C" w:rsidRDefault="0032185C">
      <w:pPr>
        <w:spacing w:after="60"/>
      </w:pPr>
    </w:p>
    <w:p w14:paraId="2BA38DD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Core papers and their DOIs</w:t>
      </w:r>
    </w:p>
    <w:p w14:paraId="3C8676CF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 xml:space="preserve">1. Temperature selecting </w:t>
      </w:r>
      <w:proofErr w:type="spellStart"/>
      <w:r w:rsidRPr="0032185C">
        <w:rPr>
          <w:b/>
          <w:bCs/>
          <w:i/>
          <w:iCs/>
        </w:rPr>
        <w:t>rpoB</w:t>
      </w:r>
      <w:proofErr w:type="spellEnd"/>
      <w:r w:rsidRPr="0032185C">
        <w:rPr>
          <w:b/>
          <w:bCs/>
        </w:rPr>
        <w:t xml:space="preserve"> mutations</w:t>
      </w:r>
    </w:p>
    <w:p w14:paraId="0D88B207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Evolution of Escherichia coli rifampicin resistance in an antibiotic</w:t>
      </w:r>
      <w:r w:rsidRPr="0032185C">
        <w:rPr>
          <w:b/>
          <w:bCs/>
        </w:rPr>
        <w:noBreakHyphen/>
        <w:t>free environment during thermal stress</w:t>
      </w:r>
      <w:r w:rsidRPr="0032185C">
        <w:br/>
        <w:t>Rodríguez-Verdugo, Gaut &amp; Tenaillon (2013)</w:t>
      </w:r>
    </w:p>
    <w:p w14:paraId="50226D51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DOI:</w:t>
      </w:r>
      <w:r w:rsidRPr="0032185C">
        <w:br/>
        <w:t xml:space="preserve">10.1186/1471-2148-13-50 </w:t>
      </w:r>
    </w:p>
    <w:p w14:paraId="53C88DCC" w14:textId="77777777" w:rsidR="0032185C" w:rsidRPr="0032185C" w:rsidRDefault="00000000" w:rsidP="0032185C">
      <w:pPr>
        <w:spacing w:after="60"/>
      </w:pPr>
      <w:r>
        <w:pict w14:anchorId="77209752">
          <v:rect id="_x0000_i1032" style="width:0;height:1.5pt" o:hralign="center" o:hrstd="t" o:hr="t" fillcolor="#a0a0a0" stroked="f"/>
        </w:pict>
      </w:r>
    </w:p>
    <w:p w14:paraId="4FF4AEFD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2. Fitness costs and compensatory evolution of rifampicin resistance</w:t>
      </w:r>
    </w:p>
    <w:p w14:paraId="78E9FE9E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 xml:space="preserve">Compensatory Evolution in </w:t>
      </w:r>
      <w:proofErr w:type="spellStart"/>
      <w:r w:rsidRPr="0032185C">
        <w:rPr>
          <w:b/>
          <w:bCs/>
        </w:rPr>
        <w:t>Rifampin</w:t>
      </w:r>
      <w:proofErr w:type="spellEnd"/>
      <w:r w:rsidRPr="0032185C">
        <w:rPr>
          <w:b/>
          <w:bCs/>
        </w:rPr>
        <w:noBreakHyphen/>
        <w:t>Resistant Escherichia coli</w:t>
      </w:r>
      <w:r w:rsidRPr="0032185C">
        <w:br/>
        <w:t>Reynolds (2000)</w:t>
      </w:r>
    </w:p>
    <w:p w14:paraId="43D9E404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DOI:</w:t>
      </w:r>
      <w:r w:rsidRPr="0032185C">
        <w:br/>
        <w:t xml:space="preserve">10.1093/genetics/156.4.1471 </w:t>
      </w:r>
    </w:p>
    <w:p w14:paraId="190D4798" w14:textId="77777777" w:rsidR="0032185C" w:rsidRPr="0032185C" w:rsidRDefault="00000000" w:rsidP="0032185C">
      <w:pPr>
        <w:spacing w:after="60"/>
      </w:pPr>
      <w:r>
        <w:pict w14:anchorId="385A1A5A">
          <v:rect id="_x0000_i1033" style="width:0;height:1.5pt" o:hralign="center" o:hrstd="t" o:hr="t" fillcolor="#a0a0a0" stroked="f"/>
        </w:pict>
      </w:r>
    </w:p>
    <w:p w14:paraId="2D805967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3. Environmental modulation of rifampicin resistance cost</w:t>
      </w:r>
    </w:p>
    <w:p w14:paraId="2FF28D53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The fitness cost of rifampicin resistance in Pseudomonas aeruginosa depends on demand for RNA polymerase</w:t>
      </w:r>
      <w:r w:rsidRPr="0032185C">
        <w:br/>
        <w:t>Hall, Iles &amp; MacLean (2011)</w:t>
      </w:r>
    </w:p>
    <w:p w14:paraId="072478E1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DOI:</w:t>
      </w:r>
      <w:r w:rsidRPr="0032185C">
        <w:br/>
        <w:t xml:space="preserve">10.1534/genetics.110.124628 </w:t>
      </w:r>
    </w:p>
    <w:p w14:paraId="1D3E0D68" w14:textId="77777777" w:rsidR="0032185C" w:rsidRPr="0032185C" w:rsidRDefault="00000000" w:rsidP="0032185C">
      <w:pPr>
        <w:spacing w:after="60"/>
      </w:pPr>
      <w:r>
        <w:pict w14:anchorId="73B1C862">
          <v:rect id="_x0000_i1034" style="width:0;height:1.5pt" o:hralign="center" o:hrstd="t" o:hr="t" fillcolor="#a0a0a0" stroked="f"/>
        </w:pict>
      </w:r>
    </w:p>
    <w:p w14:paraId="70951510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4. Molecular mechanisms of compensatory evolution</w:t>
      </w:r>
    </w:p>
    <w:p w14:paraId="2255EF31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Mechanisms of fitness cost reduction for rifampicin</w:t>
      </w:r>
      <w:r w:rsidRPr="0032185C">
        <w:rPr>
          <w:b/>
          <w:bCs/>
        </w:rPr>
        <w:noBreakHyphen/>
        <w:t xml:space="preserve">resistant strains with deletion or duplication mutations in </w:t>
      </w:r>
      <w:proofErr w:type="spellStart"/>
      <w:r w:rsidRPr="0032185C">
        <w:rPr>
          <w:b/>
          <w:bCs/>
        </w:rPr>
        <w:t>rpoB</w:t>
      </w:r>
      <w:proofErr w:type="spellEnd"/>
      <w:r w:rsidRPr="0032185C">
        <w:br/>
        <w:t>Brandis &amp; Hughes (2018)</w:t>
      </w:r>
    </w:p>
    <w:p w14:paraId="55C5DF53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DOI:</w:t>
      </w:r>
      <w:r w:rsidRPr="0032185C">
        <w:br/>
        <w:t xml:space="preserve">10.1038/s41598-018-36005-y </w:t>
      </w:r>
    </w:p>
    <w:p w14:paraId="231559A8" w14:textId="77777777" w:rsidR="0032185C" w:rsidRPr="0032185C" w:rsidRDefault="00000000" w:rsidP="0032185C">
      <w:pPr>
        <w:spacing w:after="60"/>
      </w:pPr>
      <w:r>
        <w:pict w14:anchorId="066141B4">
          <v:rect id="_x0000_i1035" style="width:0;height:1.5pt" o:hralign="center" o:hrstd="t" o:hr="t" fillcolor="#a0a0a0" stroked="f"/>
        </w:pict>
      </w:r>
    </w:p>
    <w:p w14:paraId="051D4818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5. Mechanistic link between RNAP mutations and fitness costs</w:t>
      </w:r>
    </w:p>
    <w:p w14:paraId="4F636DD3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Linking system</w:t>
      </w:r>
      <w:r w:rsidRPr="0032185C">
        <w:rPr>
          <w:b/>
          <w:bCs/>
        </w:rPr>
        <w:noBreakHyphen/>
        <w:t xml:space="preserve">wide impacts of RNA polymerase mutations to the fitness cost of </w:t>
      </w:r>
      <w:proofErr w:type="spellStart"/>
      <w:r w:rsidRPr="0032185C">
        <w:rPr>
          <w:b/>
          <w:bCs/>
        </w:rPr>
        <w:t>rifampin</w:t>
      </w:r>
      <w:proofErr w:type="spellEnd"/>
      <w:r w:rsidRPr="0032185C">
        <w:rPr>
          <w:b/>
          <w:bCs/>
        </w:rPr>
        <w:t xml:space="preserve"> resistance in Pseudomonas aeruginosa</w:t>
      </w:r>
      <w:r w:rsidRPr="0032185C">
        <w:br/>
        <w:t>Qi, Preston &amp; MacLean (2014)</w:t>
      </w:r>
    </w:p>
    <w:p w14:paraId="34791ED4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DOI:</w:t>
      </w:r>
      <w:r w:rsidRPr="0032185C">
        <w:br/>
        <w:t xml:space="preserve">10.1128/mBio.01562-14 </w:t>
      </w:r>
    </w:p>
    <w:p w14:paraId="25A0896D" w14:textId="77777777" w:rsidR="0032185C" w:rsidRPr="0032185C" w:rsidRDefault="00000000" w:rsidP="0032185C">
      <w:pPr>
        <w:spacing w:after="60"/>
      </w:pPr>
      <w:r>
        <w:pict w14:anchorId="5C2251A8">
          <v:rect id="_x0000_i1036" style="width:0;height:1.5pt" o:hralign="center" o:hrstd="t" o:hr="t" fillcolor="#a0a0a0" stroked="f"/>
        </w:pict>
      </w:r>
    </w:p>
    <w:p w14:paraId="1AC4EF58" w14:textId="77777777" w:rsidR="0032185C" w:rsidRPr="0032185C" w:rsidRDefault="0032185C" w:rsidP="0032185C">
      <w:pPr>
        <w:spacing w:after="60"/>
        <w:rPr>
          <w:b/>
          <w:bCs/>
        </w:rPr>
      </w:pPr>
      <w:r w:rsidRPr="0032185C">
        <w:rPr>
          <w:b/>
          <w:bCs/>
        </w:rPr>
        <w:t>6. Review on costs of antibiotic resistance</w:t>
      </w:r>
    </w:p>
    <w:p w14:paraId="101EC728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The cost of antibiotic resistance from a bacterial perspective</w:t>
      </w:r>
    </w:p>
    <w:p w14:paraId="07CB0840" w14:textId="77777777" w:rsidR="0032185C" w:rsidRPr="0032185C" w:rsidRDefault="0032185C" w:rsidP="0032185C">
      <w:pPr>
        <w:spacing w:after="60"/>
      </w:pPr>
      <w:r w:rsidRPr="0032185C">
        <w:rPr>
          <w:b/>
          <w:bCs/>
        </w:rPr>
        <w:t>DOI:</w:t>
      </w:r>
      <w:r w:rsidRPr="0032185C">
        <w:br/>
        <w:t xml:space="preserve">10.1054/drup.2000.0147 </w:t>
      </w:r>
    </w:p>
    <w:p w14:paraId="372F0E9E" w14:textId="77777777" w:rsidR="0032185C" w:rsidRDefault="0032185C">
      <w:pPr>
        <w:spacing w:after="60"/>
      </w:pPr>
    </w:p>
    <w:p w14:paraId="0C788B8A" w14:textId="77777777" w:rsidR="00A86619" w:rsidRDefault="00A86619">
      <w:pPr>
        <w:spacing w:after="60"/>
      </w:pPr>
    </w:p>
    <w:p w14:paraId="6B9213F3" w14:textId="77777777" w:rsidR="00A86619" w:rsidRDefault="00A86619">
      <w:pPr>
        <w:spacing w:after="60"/>
      </w:pPr>
    </w:p>
    <w:p w14:paraId="488EE071" w14:textId="724A5B00" w:rsidR="00A86619" w:rsidRDefault="00A86619">
      <w:pPr>
        <w:spacing w:after="60"/>
      </w:pPr>
    </w:p>
    <w:p w14:paraId="0B44BDD0" w14:textId="77777777" w:rsidR="00A86619" w:rsidRPr="00A86619" w:rsidRDefault="00A86619" w:rsidP="00A86619">
      <w:pPr>
        <w:spacing w:after="60"/>
        <w:rPr>
          <w:b/>
          <w:bCs/>
        </w:rPr>
      </w:pPr>
      <w:r>
        <w:lastRenderedPageBreak/>
        <w:t xml:space="preserve">Gemini </w:t>
      </w:r>
      <w:r w:rsidRPr="00A86619">
        <w:rPr>
          <w:b/>
          <w:bCs/>
        </w:rPr>
        <w:t xml:space="preserve">Literature Review Outline: Thermal Selection of Rifampicin Resistance in </w:t>
      </w:r>
      <w:r w:rsidRPr="00A86619">
        <w:rPr>
          <w:b/>
          <w:bCs/>
          <w:i/>
          <w:iCs/>
        </w:rPr>
        <w:t>E. coli</w:t>
      </w:r>
    </w:p>
    <w:p w14:paraId="67329107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>1. Introduction</w:t>
      </w:r>
    </w:p>
    <w:p w14:paraId="19F2A9CA" w14:textId="77777777" w:rsidR="00A86619" w:rsidRPr="00A86619" w:rsidRDefault="00A86619" w:rsidP="00A86619">
      <w:pPr>
        <w:numPr>
          <w:ilvl w:val="0"/>
          <w:numId w:val="24"/>
        </w:numPr>
        <w:spacing w:after="60"/>
      </w:pPr>
      <w:r w:rsidRPr="00A86619">
        <w:rPr>
          <w:b/>
          <w:bCs/>
        </w:rPr>
        <w:t>Defining the Paradigm of Resistance Costs:</w:t>
      </w:r>
      <w:r w:rsidRPr="00A86619">
        <w:t xml:space="preserve"> Traditionally, antibiotic resistance mutations are viewed as having a "fitness cost," meaning they are selected for only in the presence of the drug and are outcompeted in drug-free environments.</w:t>
      </w:r>
    </w:p>
    <w:p w14:paraId="0D68619C" w14:textId="77777777" w:rsidR="00A86619" w:rsidRPr="00A86619" w:rsidRDefault="00A86619" w:rsidP="00A86619">
      <w:pPr>
        <w:spacing w:after="60"/>
      </w:pPr>
      <w:r w:rsidRPr="00A86619">
        <w:t>+1</w:t>
      </w:r>
    </w:p>
    <w:p w14:paraId="78754C20" w14:textId="77777777" w:rsidR="00A86619" w:rsidRPr="00A86619" w:rsidRDefault="00A86619" w:rsidP="00A86619">
      <w:pPr>
        <w:numPr>
          <w:ilvl w:val="0"/>
          <w:numId w:val="24"/>
        </w:numPr>
        <w:spacing w:after="60"/>
      </w:pPr>
      <w:r w:rsidRPr="00A86619">
        <w:rPr>
          <w:b/>
          <w:bCs/>
        </w:rPr>
        <w:t>The Model System:</w:t>
      </w:r>
      <w:r w:rsidRPr="00A86619">
        <w:t xml:space="preserve"> </w:t>
      </w:r>
      <w:r w:rsidRPr="00A86619">
        <w:rPr>
          <w:i/>
          <w:iCs/>
        </w:rPr>
        <w:t>Escherichia coli</w:t>
      </w:r>
      <w:r w:rsidRPr="00A86619">
        <w:t xml:space="preserve"> B (e.g., strain REL1206) and the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gene, which encodes the subunit of RNA polymerase—the primary target of the antibiotic rifampicin.</w:t>
      </w:r>
    </w:p>
    <w:p w14:paraId="46F65924" w14:textId="77777777" w:rsidR="00A86619" w:rsidRPr="00A86619" w:rsidRDefault="00A86619" w:rsidP="00A86619">
      <w:pPr>
        <w:spacing w:after="60"/>
      </w:pPr>
      <w:r w:rsidRPr="00A86619">
        <w:t>+1</w:t>
      </w:r>
    </w:p>
    <w:p w14:paraId="73C69B1C" w14:textId="77777777" w:rsidR="00A86619" w:rsidRPr="00A86619" w:rsidRDefault="00A86619" w:rsidP="00A86619">
      <w:pPr>
        <w:numPr>
          <w:ilvl w:val="0"/>
          <w:numId w:val="24"/>
        </w:numPr>
        <w:spacing w:after="60"/>
      </w:pPr>
      <w:r w:rsidRPr="00A86619">
        <w:rPr>
          <w:b/>
          <w:bCs/>
        </w:rPr>
        <w:t>Temperature as a Selective Driver:</w:t>
      </w:r>
      <w:r w:rsidRPr="00A86619">
        <w:t xml:space="preserve"> Recent evidence suggests that extreme temperatures (thermal stress) can act as a potent selective force that inadvertently </w:t>
      </w:r>
      <w:proofErr w:type="spellStart"/>
      <w:r w:rsidRPr="00A86619">
        <w:t>favors</w:t>
      </w:r>
      <w:proofErr w:type="spellEnd"/>
      <w:r w:rsidRPr="00A86619">
        <w:t xml:space="preserve"> antibiotic-resistant genotypes.</w:t>
      </w:r>
    </w:p>
    <w:p w14:paraId="253963A1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 xml:space="preserve">2. Mechanisms of </w:t>
      </w:r>
      <w:proofErr w:type="spellStart"/>
      <w:r w:rsidRPr="00A86619">
        <w:rPr>
          <w:b/>
          <w:bCs/>
          <w:i/>
          <w:iCs/>
        </w:rPr>
        <w:t>rpoB</w:t>
      </w:r>
      <w:proofErr w:type="spellEnd"/>
      <w:r w:rsidRPr="00A86619">
        <w:rPr>
          <w:b/>
          <w:bCs/>
        </w:rPr>
        <w:t xml:space="preserve"> Mutations and Rifampicin Resistance</w:t>
      </w:r>
    </w:p>
    <w:p w14:paraId="25AFE50A" w14:textId="77777777" w:rsidR="00A86619" w:rsidRPr="00A86619" w:rsidRDefault="00A86619" w:rsidP="00A86619">
      <w:pPr>
        <w:numPr>
          <w:ilvl w:val="0"/>
          <w:numId w:val="25"/>
        </w:numPr>
        <w:spacing w:after="60"/>
      </w:pPr>
      <w:r w:rsidRPr="00A86619">
        <w:rPr>
          <w:b/>
          <w:bCs/>
        </w:rPr>
        <w:t>Molecular Basis of Resistance:</w:t>
      </w:r>
      <w:r w:rsidRPr="00A86619">
        <w:t xml:space="preserve"> Rifampicin binds to the subunit of RNA polymerase, blocking transcription. Mutations in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alter this binding site, conferring varying levels of resistance (MIC values).</w:t>
      </w:r>
    </w:p>
    <w:p w14:paraId="67F28A65" w14:textId="77777777" w:rsidR="00A86619" w:rsidRPr="00A86619" w:rsidRDefault="00A86619" w:rsidP="00A86619">
      <w:pPr>
        <w:spacing w:after="60"/>
      </w:pPr>
      <w:r w:rsidRPr="00A86619">
        <w:t>+1</w:t>
      </w:r>
    </w:p>
    <w:p w14:paraId="5EB435C2" w14:textId="77777777" w:rsidR="00A86619" w:rsidRPr="00A86619" w:rsidRDefault="00A86619" w:rsidP="00A86619">
      <w:pPr>
        <w:numPr>
          <w:ilvl w:val="0"/>
          <w:numId w:val="25"/>
        </w:numPr>
        <w:spacing w:after="60"/>
      </w:pPr>
      <w:r w:rsidRPr="00A86619">
        <w:rPr>
          <w:b/>
          <w:bCs/>
        </w:rPr>
        <w:t>The "Hotspot" for Thermal Adaptation:</w:t>
      </w:r>
      <w:r w:rsidRPr="00A86619">
        <w:t xml:space="preserve"> Codon 572 of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is a critical site where substitutions (e.g., I572N, I572L, I572F) provide significant resistance to rifampicin.</w:t>
      </w:r>
    </w:p>
    <w:p w14:paraId="427F30FD" w14:textId="77777777" w:rsidR="00A86619" w:rsidRPr="00A86619" w:rsidRDefault="00A86619" w:rsidP="00A86619">
      <w:pPr>
        <w:spacing w:after="60"/>
      </w:pPr>
      <w:r w:rsidRPr="00A86619">
        <w:t>+1</w:t>
      </w:r>
    </w:p>
    <w:p w14:paraId="248727C3" w14:textId="77777777" w:rsidR="00A86619" w:rsidRPr="00A86619" w:rsidRDefault="00A86619" w:rsidP="00A86619">
      <w:pPr>
        <w:numPr>
          <w:ilvl w:val="0"/>
          <w:numId w:val="25"/>
        </w:numPr>
        <w:spacing w:after="60"/>
      </w:pPr>
      <w:r w:rsidRPr="00A86619">
        <w:rPr>
          <w:b/>
          <w:bCs/>
        </w:rPr>
        <w:t>Parallel Evolution:</w:t>
      </w:r>
      <w:r w:rsidRPr="00A86619">
        <w:t xml:space="preserve"> These mutations often appear independently across multiple populations, </w:t>
      </w:r>
      <w:proofErr w:type="spellStart"/>
      <w:r w:rsidRPr="00A86619">
        <w:t>signaling</w:t>
      </w:r>
      <w:proofErr w:type="spellEnd"/>
      <w:r w:rsidRPr="00A86619">
        <w:t xml:space="preserve"> strong positive selection rather than random genetic drift.</w:t>
      </w:r>
    </w:p>
    <w:p w14:paraId="700D331D" w14:textId="77777777" w:rsidR="00A86619" w:rsidRPr="00A86619" w:rsidRDefault="00A86619" w:rsidP="00A86619">
      <w:pPr>
        <w:spacing w:after="60"/>
      </w:pPr>
      <w:r w:rsidRPr="00A86619">
        <w:t>+1</w:t>
      </w:r>
    </w:p>
    <w:p w14:paraId="456EC01E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 xml:space="preserve">3. Fitness Effects of </w:t>
      </w:r>
      <w:proofErr w:type="spellStart"/>
      <w:r w:rsidRPr="00A86619">
        <w:rPr>
          <w:b/>
          <w:bCs/>
          <w:i/>
          <w:iCs/>
        </w:rPr>
        <w:t>rpoB</w:t>
      </w:r>
      <w:proofErr w:type="spellEnd"/>
      <w:r w:rsidRPr="00A86619">
        <w:rPr>
          <w:b/>
          <w:bCs/>
        </w:rPr>
        <w:t xml:space="preserve"> Mutations Under Thermal Stress</w:t>
      </w:r>
    </w:p>
    <w:p w14:paraId="44CD1DFC" w14:textId="77777777" w:rsidR="00A86619" w:rsidRPr="00A86619" w:rsidRDefault="00A86619" w:rsidP="00A86619">
      <w:pPr>
        <w:numPr>
          <w:ilvl w:val="0"/>
          <w:numId w:val="26"/>
        </w:numPr>
        <w:spacing w:after="60"/>
      </w:pPr>
      <w:r w:rsidRPr="00A86619">
        <w:rPr>
          <w:b/>
          <w:bCs/>
        </w:rPr>
        <w:t>Beneficial Effects Without Antibiotics:</w:t>
      </w:r>
      <w:r w:rsidRPr="00A86619">
        <w:t xml:space="preserve"> In high-temperature environments (e.g., 42.2°C), specific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mutations can increase fitness by 18–25% even in the total absence of rifampicin.</w:t>
      </w:r>
    </w:p>
    <w:p w14:paraId="0C041348" w14:textId="77777777" w:rsidR="00A86619" w:rsidRPr="00A86619" w:rsidRDefault="00A86619" w:rsidP="00A86619">
      <w:pPr>
        <w:spacing w:after="60"/>
      </w:pPr>
      <w:r w:rsidRPr="00A86619">
        <w:t>+2</w:t>
      </w:r>
    </w:p>
    <w:p w14:paraId="1364769E" w14:textId="77777777" w:rsidR="00A86619" w:rsidRPr="00A86619" w:rsidRDefault="00A86619" w:rsidP="00A86619">
      <w:pPr>
        <w:numPr>
          <w:ilvl w:val="0"/>
          <w:numId w:val="26"/>
        </w:numPr>
        <w:spacing w:after="60"/>
      </w:pPr>
      <w:r w:rsidRPr="00A86619">
        <w:rPr>
          <w:b/>
          <w:bCs/>
        </w:rPr>
        <w:t>Rapid Fixation:</w:t>
      </w:r>
      <w:r w:rsidRPr="00A86619">
        <w:t xml:space="preserve"> Due to these high fitness gains, resistance mutations can appear early (within 500 generations) and often reach fixation in a population evolving under thermal stress.</w:t>
      </w:r>
    </w:p>
    <w:p w14:paraId="10274D7D" w14:textId="77777777" w:rsidR="00A86619" w:rsidRPr="00A86619" w:rsidRDefault="00A86619" w:rsidP="00A86619">
      <w:pPr>
        <w:numPr>
          <w:ilvl w:val="0"/>
          <w:numId w:val="26"/>
        </w:numPr>
        <w:spacing w:after="60"/>
      </w:pPr>
      <w:r w:rsidRPr="00A86619">
        <w:rPr>
          <w:b/>
          <w:bCs/>
        </w:rPr>
        <w:t>Restoration of Homeostasis:</w:t>
      </w:r>
      <w:r w:rsidRPr="00A86619">
        <w:t xml:space="preserve"> First-step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mutations may restore the expression of hundreds of genes that were dysregulated by heat, acting as a global regulator of the thermal stress response.</w:t>
      </w:r>
    </w:p>
    <w:p w14:paraId="4ED46FD4" w14:textId="77777777" w:rsidR="00A86619" w:rsidRPr="00A86619" w:rsidRDefault="00A86619" w:rsidP="00A86619">
      <w:pPr>
        <w:spacing w:after="60"/>
      </w:pPr>
      <w:r w:rsidRPr="00A86619">
        <w:t>+4</w:t>
      </w:r>
    </w:p>
    <w:p w14:paraId="46D2F36E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>4. Environmental and Genetic Context (G x E Interactions)</w:t>
      </w:r>
    </w:p>
    <w:p w14:paraId="25D18D84" w14:textId="77777777" w:rsidR="00A86619" w:rsidRPr="00A86619" w:rsidRDefault="00A86619" w:rsidP="00A86619">
      <w:pPr>
        <w:numPr>
          <w:ilvl w:val="0"/>
          <w:numId w:val="27"/>
        </w:numPr>
        <w:spacing w:after="60"/>
      </w:pPr>
      <w:r w:rsidRPr="00A86619">
        <w:rPr>
          <w:b/>
          <w:bCs/>
        </w:rPr>
        <w:t>Niche Specialization and Environment-Specific Benefits:</w:t>
      </w:r>
    </w:p>
    <w:p w14:paraId="732ED086" w14:textId="77777777" w:rsidR="00A86619" w:rsidRPr="00A86619" w:rsidRDefault="00A86619" w:rsidP="00A86619">
      <w:pPr>
        <w:numPr>
          <w:ilvl w:val="1"/>
          <w:numId w:val="27"/>
        </w:numPr>
        <w:spacing w:after="60"/>
      </w:pPr>
      <w:r w:rsidRPr="00A86619">
        <w:rPr>
          <w:b/>
          <w:bCs/>
        </w:rPr>
        <w:t>High Temp/Low Glucose:</w:t>
      </w:r>
      <w:r w:rsidRPr="00A86619">
        <w:t xml:space="preserve"> Mutations are strongly beneficial.</w:t>
      </w:r>
    </w:p>
    <w:p w14:paraId="6602A122" w14:textId="77777777" w:rsidR="00A86619" w:rsidRPr="00A86619" w:rsidRDefault="00A86619" w:rsidP="00A86619">
      <w:pPr>
        <w:spacing w:after="60"/>
      </w:pPr>
      <w:r w:rsidRPr="00A86619">
        <w:t>+3</w:t>
      </w:r>
    </w:p>
    <w:p w14:paraId="0DEC8A51" w14:textId="77777777" w:rsidR="00A86619" w:rsidRPr="00A86619" w:rsidRDefault="00A86619" w:rsidP="00A86619">
      <w:pPr>
        <w:numPr>
          <w:ilvl w:val="1"/>
          <w:numId w:val="27"/>
        </w:numPr>
        <w:spacing w:after="60"/>
      </w:pPr>
      <w:r w:rsidRPr="00A86619">
        <w:rPr>
          <w:b/>
          <w:bCs/>
        </w:rPr>
        <w:t>Standard Lab Conditions (37°C):</w:t>
      </w:r>
      <w:r w:rsidRPr="00A86619">
        <w:t xml:space="preserve"> The same mutations are typically neutral or demonstrably detrimental (deleterious).</w:t>
      </w:r>
    </w:p>
    <w:p w14:paraId="46830DA8" w14:textId="77777777" w:rsidR="00A86619" w:rsidRPr="00A86619" w:rsidRDefault="00A86619" w:rsidP="00A86619">
      <w:pPr>
        <w:spacing w:after="60"/>
      </w:pPr>
      <w:r w:rsidRPr="00A86619">
        <w:t>+2</w:t>
      </w:r>
    </w:p>
    <w:p w14:paraId="2CAFC3C5" w14:textId="77777777" w:rsidR="00A86619" w:rsidRPr="00A86619" w:rsidRDefault="00A86619" w:rsidP="00A86619">
      <w:pPr>
        <w:numPr>
          <w:ilvl w:val="1"/>
          <w:numId w:val="27"/>
        </w:numPr>
        <w:spacing w:after="60"/>
      </w:pPr>
      <w:r w:rsidRPr="00A86619">
        <w:rPr>
          <w:b/>
          <w:bCs/>
        </w:rPr>
        <w:t>Nutrient Availability:</w:t>
      </w:r>
      <w:r w:rsidRPr="00A86619">
        <w:t xml:space="preserve"> Fitness benefits may disappear in rich media (like LB broth) or high-glucose environments.</w:t>
      </w:r>
    </w:p>
    <w:p w14:paraId="6DF618F5" w14:textId="77777777" w:rsidR="00A86619" w:rsidRPr="00A86619" w:rsidRDefault="00A86619" w:rsidP="00A86619">
      <w:pPr>
        <w:spacing w:after="60"/>
      </w:pPr>
      <w:r w:rsidRPr="00A86619">
        <w:lastRenderedPageBreak/>
        <w:t>+2</w:t>
      </w:r>
    </w:p>
    <w:p w14:paraId="15285848" w14:textId="77777777" w:rsidR="00A86619" w:rsidRPr="00A86619" w:rsidRDefault="00A86619" w:rsidP="00A86619">
      <w:pPr>
        <w:numPr>
          <w:ilvl w:val="0"/>
          <w:numId w:val="27"/>
        </w:numPr>
        <w:spacing w:after="60"/>
      </w:pPr>
      <w:r w:rsidRPr="00A86619">
        <w:rPr>
          <w:b/>
          <w:bCs/>
        </w:rPr>
        <w:t>Epistasis and Genetic Background:</w:t>
      </w:r>
      <w:r w:rsidRPr="00A86619">
        <w:t xml:space="preserve"> The fitness advantage of </w:t>
      </w:r>
      <w:proofErr w:type="gramStart"/>
      <w:r w:rsidRPr="00A86619">
        <w:t>an</w:t>
      </w:r>
      <w:proofErr w:type="gramEnd"/>
      <w:r w:rsidRPr="00A86619">
        <w:t xml:space="preserve">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mutation is highly dependent on the host strain. For example, mutations beneficial in </w:t>
      </w:r>
      <w:r w:rsidRPr="00A86619">
        <w:rPr>
          <w:i/>
          <w:iCs/>
        </w:rPr>
        <w:t>E. coli</w:t>
      </w:r>
      <w:r w:rsidRPr="00A86619">
        <w:t xml:space="preserve"> B may be lethal or highly costly in </w:t>
      </w:r>
      <w:r w:rsidRPr="00A86619">
        <w:rPr>
          <w:i/>
          <w:iCs/>
        </w:rPr>
        <w:t>E. coli</w:t>
      </w:r>
      <w:r w:rsidRPr="00A86619">
        <w:t xml:space="preserve"> K-12 backgrounds.</w:t>
      </w:r>
    </w:p>
    <w:p w14:paraId="47CF7D93" w14:textId="77777777" w:rsidR="00A86619" w:rsidRPr="00A86619" w:rsidRDefault="00A86619" w:rsidP="00A86619">
      <w:pPr>
        <w:spacing w:after="60"/>
      </w:pPr>
      <w:r w:rsidRPr="00A86619">
        <w:t>+1</w:t>
      </w:r>
    </w:p>
    <w:p w14:paraId="7E114BD0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>5. Overlap Between Thermal and Antibiotic Stress Responses</w:t>
      </w:r>
    </w:p>
    <w:p w14:paraId="78965B7A" w14:textId="77777777" w:rsidR="00A86619" w:rsidRPr="00A86619" w:rsidRDefault="00A86619" w:rsidP="00A86619">
      <w:pPr>
        <w:numPr>
          <w:ilvl w:val="0"/>
          <w:numId w:val="28"/>
        </w:numPr>
        <w:spacing w:after="60"/>
      </w:pPr>
      <w:r w:rsidRPr="00A86619">
        <w:rPr>
          <w:b/>
          <w:bCs/>
        </w:rPr>
        <w:t>Co-opted Stress Responses:</w:t>
      </w:r>
      <w:r w:rsidRPr="00A86619">
        <w:t xml:space="preserve"> Bacteria may use existing thermal stress mechanisms to respond to new stressors like antibiotics.</w:t>
      </w:r>
    </w:p>
    <w:p w14:paraId="3B404D55" w14:textId="77777777" w:rsidR="00A86619" w:rsidRPr="00A86619" w:rsidRDefault="00A86619" w:rsidP="00A86619">
      <w:pPr>
        <w:numPr>
          <w:ilvl w:val="0"/>
          <w:numId w:val="28"/>
        </w:numPr>
        <w:spacing w:after="60"/>
      </w:pPr>
      <w:r w:rsidRPr="00A86619">
        <w:rPr>
          <w:b/>
          <w:bCs/>
        </w:rPr>
        <w:t>Stressor Interaction Networks:</w:t>
      </w:r>
      <w:r w:rsidRPr="00A86619">
        <w:t xml:space="preserve"> Phenotypic growth measurements reveal that high-temperature responses group with responses to specific classes of antibiotics, suggesting a shared cellular pathway.</w:t>
      </w:r>
    </w:p>
    <w:p w14:paraId="2CE39304" w14:textId="77777777" w:rsidR="00A86619" w:rsidRPr="00A86619" w:rsidRDefault="00A86619" w:rsidP="00A86619">
      <w:pPr>
        <w:spacing w:after="60"/>
      </w:pPr>
      <w:r w:rsidRPr="00A86619">
        <w:t>+1</w:t>
      </w:r>
    </w:p>
    <w:p w14:paraId="318BD1D4" w14:textId="77777777" w:rsidR="00A86619" w:rsidRPr="00A86619" w:rsidRDefault="00A86619" w:rsidP="00A86619">
      <w:pPr>
        <w:numPr>
          <w:ilvl w:val="0"/>
          <w:numId w:val="28"/>
        </w:numPr>
        <w:spacing w:after="60"/>
      </w:pPr>
      <w:r w:rsidRPr="00A86619">
        <w:rPr>
          <w:b/>
          <w:bCs/>
        </w:rPr>
        <w:t>Transcriptional Reporters:</w:t>
      </w:r>
      <w:r w:rsidRPr="00A86619">
        <w:t xml:space="preserve"> Heat-shock and cold-shock genes are often induced by antibiotic exposure, confirming a deep physiological link between temperature and resistance.</w:t>
      </w:r>
    </w:p>
    <w:p w14:paraId="5BFD6F88" w14:textId="77777777" w:rsidR="00A86619" w:rsidRPr="00A86619" w:rsidRDefault="00A86619" w:rsidP="00A86619">
      <w:pPr>
        <w:spacing w:after="60"/>
      </w:pPr>
      <w:r w:rsidRPr="00A86619">
        <w:t>+1</w:t>
      </w:r>
    </w:p>
    <w:p w14:paraId="24AC931E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>6. Evolutionary Implications for Antimicrobial Resistance (AMR)</w:t>
      </w:r>
    </w:p>
    <w:p w14:paraId="0B94B028" w14:textId="77777777" w:rsidR="00A86619" w:rsidRPr="00A86619" w:rsidRDefault="00A86619" w:rsidP="00A86619">
      <w:pPr>
        <w:numPr>
          <w:ilvl w:val="0"/>
          <w:numId w:val="29"/>
        </w:numPr>
        <w:spacing w:after="60"/>
      </w:pPr>
      <w:r w:rsidRPr="00A86619">
        <w:rPr>
          <w:b/>
          <w:bCs/>
        </w:rPr>
        <w:t>Resistance in the Wild:</w:t>
      </w:r>
      <w:r w:rsidRPr="00A86619">
        <w:t xml:space="preserve"> Environmental factors such as fluctuating temperatures may maintain or even promote antibiotic resistance in natural habitats (soil, water) where antibiotics are absent.</w:t>
      </w:r>
    </w:p>
    <w:p w14:paraId="6236A23B" w14:textId="77777777" w:rsidR="00A86619" w:rsidRPr="00A86619" w:rsidRDefault="00A86619" w:rsidP="00A86619">
      <w:pPr>
        <w:spacing w:after="60"/>
      </w:pPr>
      <w:r w:rsidRPr="00A86619">
        <w:t>+3</w:t>
      </w:r>
    </w:p>
    <w:p w14:paraId="64FA9802" w14:textId="77777777" w:rsidR="00A86619" w:rsidRPr="00A86619" w:rsidRDefault="00A86619" w:rsidP="00A86619">
      <w:pPr>
        <w:numPr>
          <w:ilvl w:val="0"/>
          <w:numId w:val="29"/>
        </w:numPr>
        <w:spacing w:after="60"/>
      </w:pPr>
      <w:r w:rsidRPr="00A86619">
        <w:rPr>
          <w:b/>
          <w:bCs/>
        </w:rPr>
        <w:t>Pleiotropy and Adaptation:</w:t>
      </w:r>
      <w:r w:rsidRPr="00A86619">
        <w:t xml:space="preserve"> A single mutation can have pleiotropic effects, driving both ecological specialization and drug resistance simultaneously.</w:t>
      </w:r>
    </w:p>
    <w:p w14:paraId="7CA6781D" w14:textId="77777777" w:rsidR="00A86619" w:rsidRPr="00A86619" w:rsidRDefault="00A86619" w:rsidP="00A86619">
      <w:pPr>
        <w:spacing w:after="60"/>
      </w:pPr>
      <w:r w:rsidRPr="00A86619">
        <w:t>+1</w:t>
      </w:r>
    </w:p>
    <w:p w14:paraId="195AE640" w14:textId="77777777" w:rsidR="00A86619" w:rsidRPr="00A86619" w:rsidRDefault="00A86619" w:rsidP="00A86619">
      <w:pPr>
        <w:numPr>
          <w:ilvl w:val="0"/>
          <w:numId w:val="29"/>
        </w:numPr>
        <w:spacing w:after="60"/>
      </w:pPr>
      <w:r w:rsidRPr="00A86619">
        <w:rPr>
          <w:b/>
          <w:bCs/>
        </w:rPr>
        <w:t>Rethinking Management:</w:t>
      </w:r>
      <w:r w:rsidRPr="00A86619">
        <w:t xml:space="preserve"> Managing AMR may require looking beyond clinical antibiotic use to include the "ecology and evolution of resistance in the broader environment".</w:t>
      </w:r>
    </w:p>
    <w:p w14:paraId="4F3FE683" w14:textId="77777777" w:rsidR="00A86619" w:rsidRPr="00A86619" w:rsidRDefault="00A86619" w:rsidP="00A86619">
      <w:pPr>
        <w:spacing w:after="60"/>
      </w:pPr>
      <w:r w:rsidRPr="00A86619">
        <w:t>+2</w:t>
      </w:r>
    </w:p>
    <w:p w14:paraId="617B1172" w14:textId="77777777" w:rsidR="00A86619" w:rsidRPr="00A86619" w:rsidRDefault="00A86619" w:rsidP="00A86619">
      <w:pPr>
        <w:spacing w:after="60"/>
        <w:rPr>
          <w:b/>
          <w:bCs/>
        </w:rPr>
      </w:pPr>
      <w:r w:rsidRPr="00A86619">
        <w:rPr>
          <w:b/>
          <w:bCs/>
        </w:rPr>
        <w:t>7. Conclusion and Future Directions</w:t>
      </w:r>
    </w:p>
    <w:p w14:paraId="495924CB" w14:textId="77777777" w:rsidR="00A86619" w:rsidRPr="00A86619" w:rsidRDefault="00A86619" w:rsidP="00A86619">
      <w:pPr>
        <w:numPr>
          <w:ilvl w:val="0"/>
          <w:numId w:val="30"/>
        </w:numPr>
        <w:spacing w:after="60"/>
      </w:pPr>
      <w:r w:rsidRPr="00A86619">
        <w:rPr>
          <w:b/>
          <w:bCs/>
        </w:rPr>
        <w:t>Summary:</w:t>
      </w:r>
      <w:r w:rsidRPr="00A86619">
        <w:t xml:space="preserve"> </w:t>
      </w:r>
      <w:proofErr w:type="spellStart"/>
      <w:r w:rsidRPr="00A86619">
        <w:rPr>
          <w:i/>
          <w:iCs/>
        </w:rPr>
        <w:t>rpoB</w:t>
      </w:r>
      <w:proofErr w:type="spellEnd"/>
      <w:r w:rsidRPr="00A86619">
        <w:t xml:space="preserve"> mutations induced by rifampicin are not inherently costly; their fitness is a dynamic property determined by temperature, nutrients, and genetic background.</w:t>
      </w:r>
    </w:p>
    <w:p w14:paraId="7BE56C8A" w14:textId="77777777" w:rsidR="00A86619" w:rsidRPr="00A86619" w:rsidRDefault="00A86619" w:rsidP="00A86619">
      <w:pPr>
        <w:spacing w:after="60"/>
      </w:pPr>
      <w:r w:rsidRPr="00A86619">
        <w:t>+2</w:t>
      </w:r>
    </w:p>
    <w:p w14:paraId="2B81E072" w14:textId="77777777" w:rsidR="00A86619" w:rsidRPr="00A86619" w:rsidRDefault="00A86619" w:rsidP="00A86619">
      <w:pPr>
        <w:numPr>
          <w:ilvl w:val="0"/>
          <w:numId w:val="30"/>
        </w:numPr>
        <w:spacing w:after="60"/>
      </w:pPr>
      <w:r w:rsidRPr="00A86619">
        <w:rPr>
          <w:b/>
          <w:bCs/>
        </w:rPr>
        <w:t>Unanswered Questions:</w:t>
      </w:r>
      <w:r w:rsidRPr="00A86619">
        <w:t xml:space="preserve"> How do these mutations interact with subsequent compensatory mutations? Does evolution under thermal stress consistently lead to predictable changes in optimal growth </w:t>
      </w:r>
      <w:proofErr w:type="gramStart"/>
      <w:r w:rsidRPr="00A86619">
        <w:t>temperature?.</w:t>
      </w:r>
      <w:proofErr w:type="gramEnd"/>
    </w:p>
    <w:p w14:paraId="308C4810" w14:textId="77777777" w:rsidR="00A86619" w:rsidRPr="00A86619" w:rsidRDefault="00A86619" w:rsidP="00A86619">
      <w:pPr>
        <w:spacing w:after="60"/>
      </w:pPr>
      <w:r w:rsidRPr="00A86619">
        <w:t>+2</w:t>
      </w:r>
    </w:p>
    <w:p w14:paraId="6186A4D8" w14:textId="10B54EB4" w:rsidR="00A86619" w:rsidRDefault="00A86619">
      <w:pPr>
        <w:spacing w:after="60"/>
      </w:pPr>
    </w:p>
    <w:sectPr w:rsidR="00A86619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1CE37" w14:textId="77777777" w:rsidR="00C5743B" w:rsidRDefault="00C5743B">
      <w:r>
        <w:separator/>
      </w:r>
    </w:p>
  </w:endnote>
  <w:endnote w:type="continuationSeparator" w:id="0">
    <w:p w14:paraId="3D28C682" w14:textId="77777777" w:rsidR="00C5743B" w:rsidRDefault="00C57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48AC" w14:textId="77777777" w:rsidR="00C5743B" w:rsidRDefault="00C5743B">
      <w:r>
        <w:separator/>
      </w:r>
    </w:p>
  </w:footnote>
  <w:footnote w:type="continuationSeparator" w:id="0">
    <w:p w14:paraId="50733365" w14:textId="77777777" w:rsidR="00C5743B" w:rsidRDefault="00C57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CCC9" w14:textId="77777777" w:rsidR="000D2339" w:rsidRDefault="002604F9">
    <w:pPr>
      <w:pBdr>
        <w:bottom w:val="single" w:sz="4" w:space="4" w:color="DDDDDD"/>
      </w:pBdr>
      <w:jc w:val="right"/>
    </w:pPr>
    <w:r>
      <w:rPr>
        <w:i/>
        <w:iCs/>
        <w:color w:val="AAAAAA"/>
        <w:sz w:val="18"/>
        <w:szCs w:val="18"/>
      </w:rPr>
      <w:t xml:space="preserve">Literature Review </w:t>
    </w:r>
    <w:proofErr w:type="gramStart"/>
    <w:r>
      <w:rPr>
        <w:i/>
        <w:iCs/>
        <w:color w:val="AAAAAA"/>
        <w:sz w:val="18"/>
        <w:szCs w:val="18"/>
      </w:rPr>
      <w:t>Outline  |</w:t>
    </w:r>
    <w:proofErr w:type="gramEnd"/>
    <w:r>
      <w:rPr>
        <w:i/>
        <w:iCs/>
        <w:color w:val="AAAAAA"/>
        <w:sz w:val="18"/>
        <w:szCs w:val="18"/>
      </w:rPr>
      <w:t xml:space="preserve">  </w:t>
    </w:r>
    <w:proofErr w:type="spellStart"/>
    <w:r>
      <w:rPr>
        <w:i/>
        <w:iCs/>
        <w:color w:val="AAAAAA"/>
        <w:sz w:val="18"/>
        <w:szCs w:val="18"/>
      </w:rPr>
      <w:t>rpoB</w:t>
    </w:r>
    <w:proofErr w:type="spellEnd"/>
    <w:r>
      <w:rPr>
        <w:i/>
        <w:iCs/>
        <w:color w:val="AAAAAA"/>
        <w:sz w:val="18"/>
        <w:szCs w:val="18"/>
      </w:rPr>
      <w:t xml:space="preserve"> Temperature </w:t>
    </w:r>
    <w:proofErr w:type="gramStart"/>
    <w:r>
      <w:rPr>
        <w:i/>
        <w:iCs/>
        <w:color w:val="AAAAAA"/>
        <w:sz w:val="18"/>
        <w:szCs w:val="18"/>
      </w:rPr>
      <w:t>Fitness  |</w:t>
    </w:r>
    <w:proofErr w:type="gramEnd"/>
    <w:r>
      <w:rPr>
        <w:i/>
        <w:iCs/>
        <w:color w:val="AAAAAA"/>
        <w:sz w:val="18"/>
        <w:szCs w:val="18"/>
      </w:rPr>
      <w:t xml:space="preserve">  E. coli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D71"/>
    <w:multiLevelType w:val="multilevel"/>
    <w:tmpl w:val="EBA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1935"/>
    <w:multiLevelType w:val="multilevel"/>
    <w:tmpl w:val="6DA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6DF0"/>
    <w:multiLevelType w:val="multilevel"/>
    <w:tmpl w:val="9B8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63048"/>
    <w:multiLevelType w:val="multilevel"/>
    <w:tmpl w:val="EC3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B13"/>
    <w:multiLevelType w:val="hybridMultilevel"/>
    <w:tmpl w:val="559CC6C4"/>
    <w:lvl w:ilvl="0" w:tplc="E5C2E1DC">
      <w:start w:val="1"/>
      <w:numFmt w:val="bullet"/>
      <w:lvlText w:val="▸"/>
      <w:lvlJc w:val="left"/>
      <w:pPr>
        <w:ind w:left="540" w:hanging="360"/>
      </w:pPr>
    </w:lvl>
    <w:lvl w:ilvl="1" w:tplc="5658E64C">
      <w:start w:val="1"/>
      <w:numFmt w:val="bullet"/>
      <w:lvlText w:val="○"/>
      <w:lvlJc w:val="left"/>
      <w:pPr>
        <w:ind w:left="1080" w:hanging="360"/>
      </w:pPr>
    </w:lvl>
    <w:lvl w:ilvl="2" w:tplc="B798E0F0">
      <w:numFmt w:val="decimal"/>
      <w:lvlText w:val=""/>
      <w:lvlJc w:val="left"/>
    </w:lvl>
    <w:lvl w:ilvl="3" w:tplc="FEB86F70">
      <w:numFmt w:val="decimal"/>
      <w:lvlText w:val=""/>
      <w:lvlJc w:val="left"/>
    </w:lvl>
    <w:lvl w:ilvl="4" w:tplc="B8B8EFEA">
      <w:numFmt w:val="decimal"/>
      <w:lvlText w:val=""/>
      <w:lvlJc w:val="left"/>
    </w:lvl>
    <w:lvl w:ilvl="5" w:tplc="A7E2F3F8">
      <w:numFmt w:val="decimal"/>
      <w:lvlText w:val=""/>
      <w:lvlJc w:val="left"/>
    </w:lvl>
    <w:lvl w:ilvl="6" w:tplc="1D442FD0">
      <w:numFmt w:val="decimal"/>
      <w:lvlText w:val=""/>
      <w:lvlJc w:val="left"/>
    </w:lvl>
    <w:lvl w:ilvl="7" w:tplc="C7909566">
      <w:numFmt w:val="decimal"/>
      <w:lvlText w:val=""/>
      <w:lvlJc w:val="left"/>
    </w:lvl>
    <w:lvl w:ilvl="8" w:tplc="DF3E0526">
      <w:numFmt w:val="decimal"/>
      <w:lvlText w:val=""/>
      <w:lvlJc w:val="left"/>
    </w:lvl>
  </w:abstractNum>
  <w:abstractNum w:abstractNumId="5" w15:restartNumberingAfterBreak="0">
    <w:nsid w:val="0C0C6025"/>
    <w:multiLevelType w:val="multilevel"/>
    <w:tmpl w:val="59B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C3D9B"/>
    <w:multiLevelType w:val="multilevel"/>
    <w:tmpl w:val="2A2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61731"/>
    <w:multiLevelType w:val="multilevel"/>
    <w:tmpl w:val="C0F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214BF"/>
    <w:multiLevelType w:val="multilevel"/>
    <w:tmpl w:val="126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7149E"/>
    <w:multiLevelType w:val="multilevel"/>
    <w:tmpl w:val="49B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336D6"/>
    <w:multiLevelType w:val="multilevel"/>
    <w:tmpl w:val="F98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6138B"/>
    <w:multiLevelType w:val="multilevel"/>
    <w:tmpl w:val="F142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4045A"/>
    <w:multiLevelType w:val="multilevel"/>
    <w:tmpl w:val="29C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3BA8"/>
    <w:multiLevelType w:val="multilevel"/>
    <w:tmpl w:val="A0C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F0533"/>
    <w:multiLevelType w:val="hybridMultilevel"/>
    <w:tmpl w:val="583AFAB4"/>
    <w:lvl w:ilvl="0" w:tplc="7C2AFC44">
      <w:start w:val="1"/>
      <w:numFmt w:val="bullet"/>
      <w:lvlText w:val="●"/>
      <w:lvlJc w:val="left"/>
      <w:pPr>
        <w:ind w:left="720" w:hanging="360"/>
      </w:pPr>
    </w:lvl>
    <w:lvl w:ilvl="1" w:tplc="4C2EF9C2">
      <w:start w:val="1"/>
      <w:numFmt w:val="bullet"/>
      <w:lvlText w:val="○"/>
      <w:lvlJc w:val="left"/>
      <w:pPr>
        <w:ind w:left="1440" w:hanging="360"/>
      </w:pPr>
    </w:lvl>
    <w:lvl w:ilvl="2" w:tplc="4B320FE6">
      <w:start w:val="1"/>
      <w:numFmt w:val="bullet"/>
      <w:lvlText w:val="■"/>
      <w:lvlJc w:val="left"/>
      <w:pPr>
        <w:ind w:left="2160" w:hanging="360"/>
      </w:pPr>
    </w:lvl>
    <w:lvl w:ilvl="3" w:tplc="45449F6C">
      <w:start w:val="1"/>
      <w:numFmt w:val="bullet"/>
      <w:lvlText w:val="●"/>
      <w:lvlJc w:val="left"/>
      <w:pPr>
        <w:ind w:left="2880" w:hanging="360"/>
      </w:pPr>
    </w:lvl>
    <w:lvl w:ilvl="4" w:tplc="68340E54">
      <w:start w:val="1"/>
      <w:numFmt w:val="bullet"/>
      <w:lvlText w:val="○"/>
      <w:lvlJc w:val="left"/>
      <w:pPr>
        <w:ind w:left="3600" w:hanging="360"/>
      </w:pPr>
    </w:lvl>
    <w:lvl w:ilvl="5" w:tplc="28EA0E40">
      <w:start w:val="1"/>
      <w:numFmt w:val="bullet"/>
      <w:lvlText w:val="■"/>
      <w:lvlJc w:val="left"/>
      <w:pPr>
        <w:ind w:left="4320" w:hanging="360"/>
      </w:pPr>
    </w:lvl>
    <w:lvl w:ilvl="6" w:tplc="FB406276">
      <w:start w:val="1"/>
      <w:numFmt w:val="bullet"/>
      <w:lvlText w:val="●"/>
      <w:lvlJc w:val="left"/>
      <w:pPr>
        <w:ind w:left="5040" w:hanging="360"/>
      </w:pPr>
    </w:lvl>
    <w:lvl w:ilvl="7" w:tplc="C1CC267E">
      <w:start w:val="1"/>
      <w:numFmt w:val="bullet"/>
      <w:lvlText w:val="●"/>
      <w:lvlJc w:val="left"/>
      <w:pPr>
        <w:ind w:left="5760" w:hanging="360"/>
      </w:pPr>
    </w:lvl>
    <w:lvl w:ilvl="8" w:tplc="311458F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53F1ACA"/>
    <w:multiLevelType w:val="multilevel"/>
    <w:tmpl w:val="E67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42F70"/>
    <w:multiLevelType w:val="multilevel"/>
    <w:tmpl w:val="51B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7295B"/>
    <w:multiLevelType w:val="multilevel"/>
    <w:tmpl w:val="6D5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E034A"/>
    <w:multiLevelType w:val="multilevel"/>
    <w:tmpl w:val="CE6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E64C6"/>
    <w:multiLevelType w:val="multilevel"/>
    <w:tmpl w:val="A26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16F40"/>
    <w:multiLevelType w:val="multilevel"/>
    <w:tmpl w:val="738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54D3A"/>
    <w:multiLevelType w:val="multilevel"/>
    <w:tmpl w:val="D7F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317B3"/>
    <w:multiLevelType w:val="multilevel"/>
    <w:tmpl w:val="E19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059A6"/>
    <w:multiLevelType w:val="multilevel"/>
    <w:tmpl w:val="16F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A520E"/>
    <w:multiLevelType w:val="multilevel"/>
    <w:tmpl w:val="339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D6E9C"/>
    <w:multiLevelType w:val="multilevel"/>
    <w:tmpl w:val="402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2E92"/>
    <w:multiLevelType w:val="multilevel"/>
    <w:tmpl w:val="B3A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519B6"/>
    <w:multiLevelType w:val="multilevel"/>
    <w:tmpl w:val="0E5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D1082"/>
    <w:multiLevelType w:val="multilevel"/>
    <w:tmpl w:val="F8E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44A4A"/>
    <w:multiLevelType w:val="multilevel"/>
    <w:tmpl w:val="9E0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19560">
    <w:abstractNumId w:val="14"/>
    <w:lvlOverride w:ilvl="0">
      <w:startOverride w:val="1"/>
    </w:lvlOverride>
  </w:num>
  <w:num w:numId="2" w16cid:durableId="47732641">
    <w:abstractNumId w:val="4"/>
    <w:lvlOverride w:ilvl="0">
      <w:startOverride w:val="1"/>
    </w:lvlOverride>
  </w:num>
  <w:num w:numId="3" w16cid:durableId="1185555189">
    <w:abstractNumId w:val="10"/>
  </w:num>
  <w:num w:numId="4" w16cid:durableId="2001080916">
    <w:abstractNumId w:val="11"/>
  </w:num>
  <w:num w:numId="5" w16cid:durableId="1531725486">
    <w:abstractNumId w:val="20"/>
  </w:num>
  <w:num w:numId="6" w16cid:durableId="747969013">
    <w:abstractNumId w:val="15"/>
  </w:num>
  <w:num w:numId="7" w16cid:durableId="944649926">
    <w:abstractNumId w:val="28"/>
  </w:num>
  <w:num w:numId="8" w16cid:durableId="258492662">
    <w:abstractNumId w:val="29"/>
  </w:num>
  <w:num w:numId="9" w16cid:durableId="1082065946">
    <w:abstractNumId w:val="17"/>
  </w:num>
  <w:num w:numId="10" w16cid:durableId="1549414185">
    <w:abstractNumId w:val="2"/>
  </w:num>
  <w:num w:numId="11" w16cid:durableId="605582233">
    <w:abstractNumId w:val="1"/>
  </w:num>
  <w:num w:numId="12" w16cid:durableId="1242518340">
    <w:abstractNumId w:val="3"/>
  </w:num>
  <w:num w:numId="13" w16cid:durableId="1826119795">
    <w:abstractNumId w:val="5"/>
  </w:num>
  <w:num w:numId="14" w16cid:durableId="827523144">
    <w:abstractNumId w:val="21"/>
  </w:num>
  <w:num w:numId="15" w16cid:durableId="1094323682">
    <w:abstractNumId w:val="25"/>
  </w:num>
  <w:num w:numId="16" w16cid:durableId="60566813">
    <w:abstractNumId w:val="16"/>
  </w:num>
  <w:num w:numId="17" w16cid:durableId="320618103">
    <w:abstractNumId w:val="19"/>
  </w:num>
  <w:num w:numId="18" w16cid:durableId="1498153502">
    <w:abstractNumId w:val="8"/>
  </w:num>
  <w:num w:numId="19" w16cid:durableId="1939484788">
    <w:abstractNumId w:val="18"/>
  </w:num>
  <w:num w:numId="20" w16cid:durableId="3940586">
    <w:abstractNumId w:val="0"/>
  </w:num>
  <w:num w:numId="21" w16cid:durableId="1116606937">
    <w:abstractNumId w:val="22"/>
  </w:num>
  <w:num w:numId="22" w16cid:durableId="1288664084">
    <w:abstractNumId w:val="27"/>
  </w:num>
  <w:num w:numId="23" w16cid:durableId="560794853">
    <w:abstractNumId w:val="24"/>
  </w:num>
  <w:num w:numId="24" w16cid:durableId="792133979">
    <w:abstractNumId w:val="26"/>
  </w:num>
  <w:num w:numId="25" w16cid:durableId="279191920">
    <w:abstractNumId w:val="7"/>
  </w:num>
  <w:num w:numId="26" w16cid:durableId="765729178">
    <w:abstractNumId w:val="23"/>
  </w:num>
  <w:num w:numId="27" w16cid:durableId="132793679">
    <w:abstractNumId w:val="12"/>
  </w:num>
  <w:num w:numId="28" w16cid:durableId="662976453">
    <w:abstractNumId w:val="6"/>
  </w:num>
  <w:num w:numId="29" w16cid:durableId="1792899057">
    <w:abstractNumId w:val="13"/>
  </w:num>
  <w:num w:numId="30" w16cid:durableId="1941790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339"/>
    <w:rsid w:val="000D2339"/>
    <w:rsid w:val="002604F9"/>
    <w:rsid w:val="0032185C"/>
    <w:rsid w:val="005D74A6"/>
    <w:rsid w:val="00654D11"/>
    <w:rsid w:val="007B04B4"/>
    <w:rsid w:val="00875C10"/>
    <w:rsid w:val="00A86619"/>
    <w:rsid w:val="00AA143F"/>
    <w:rsid w:val="00B713F8"/>
    <w:rsid w:val="00C5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EB4D9"/>
  <w15:docId w15:val="{A0E594C8-95B9-4590-AE45-FA4F5DAB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i/>
      <w:i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4650</Words>
  <Characters>29664</Characters>
  <Application>Microsoft Office Word</Application>
  <DocSecurity>0</DocSecurity>
  <Lines>625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Ziqing Liu</cp:lastModifiedBy>
  <cp:revision>3</cp:revision>
  <dcterms:created xsi:type="dcterms:W3CDTF">2026-03-12T04:15:00Z</dcterms:created>
  <dcterms:modified xsi:type="dcterms:W3CDTF">2026-03-13T02:30:00Z</dcterms:modified>
</cp:coreProperties>
</file>